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1D2F" w14:textId="7B87FCF0" w:rsidR="0086248D" w:rsidRDefault="0086248D" w:rsidP="00C574B2">
      <w:pPr>
        <w:pStyle w:val="Nessunaspaziatura"/>
        <w:ind w:left="5245" w:firstLine="348"/>
        <w:rPr>
          <w:sz w:val="24"/>
          <w:szCs w:val="24"/>
        </w:rPr>
      </w:pPr>
      <w:r>
        <w:rPr>
          <w:sz w:val="24"/>
          <w:szCs w:val="24"/>
        </w:rPr>
        <w:t xml:space="preserve">Spett.le </w:t>
      </w:r>
      <w:r w:rsidRPr="0086248D">
        <w:rPr>
          <w:b/>
          <w:bCs/>
          <w:sz w:val="24"/>
          <w:szCs w:val="24"/>
        </w:rPr>
        <w:t>Edison S</w:t>
      </w:r>
      <w:r w:rsidR="001613C5">
        <w:rPr>
          <w:b/>
          <w:bCs/>
          <w:sz w:val="24"/>
          <w:szCs w:val="24"/>
        </w:rPr>
        <w:t>toccaggio S.p.A.</w:t>
      </w:r>
    </w:p>
    <w:p w14:paraId="17E3EC41" w14:textId="2FEC79AC" w:rsidR="0086248D" w:rsidRDefault="0086248D" w:rsidP="00C574B2">
      <w:pPr>
        <w:pStyle w:val="Nessunaspaziatura"/>
        <w:ind w:left="5245" w:firstLine="348"/>
        <w:rPr>
          <w:sz w:val="24"/>
          <w:szCs w:val="24"/>
        </w:rPr>
      </w:pPr>
      <w:r>
        <w:rPr>
          <w:sz w:val="24"/>
          <w:szCs w:val="24"/>
        </w:rPr>
        <w:t xml:space="preserve">Foro Buonaparte, 31 </w:t>
      </w:r>
    </w:p>
    <w:p w14:paraId="1E0480A5" w14:textId="20644651" w:rsidR="0086248D" w:rsidRDefault="0086248D" w:rsidP="00C574B2">
      <w:pPr>
        <w:pStyle w:val="Nessunaspaziatura"/>
        <w:ind w:left="5245" w:firstLine="348"/>
        <w:rPr>
          <w:sz w:val="24"/>
          <w:szCs w:val="24"/>
        </w:rPr>
      </w:pPr>
      <w:r>
        <w:rPr>
          <w:sz w:val="24"/>
          <w:szCs w:val="24"/>
        </w:rPr>
        <w:t xml:space="preserve">20121 – Milano </w:t>
      </w:r>
    </w:p>
    <w:p w14:paraId="41EA4354" w14:textId="1252FFCE" w:rsidR="0086248D" w:rsidRPr="001613C5" w:rsidRDefault="0086248D" w:rsidP="00C574B2">
      <w:pPr>
        <w:pStyle w:val="Nessunaspaziatura"/>
        <w:ind w:left="5245" w:firstLine="348"/>
        <w:rPr>
          <w:sz w:val="24"/>
          <w:szCs w:val="24"/>
        </w:rPr>
      </w:pPr>
      <w:r w:rsidRPr="001613C5">
        <w:rPr>
          <w:sz w:val="24"/>
          <w:szCs w:val="24"/>
        </w:rPr>
        <w:t xml:space="preserve">Att.ne </w:t>
      </w:r>
      <w:proofErr w:type="spellStart"/>
      <w:r w:rsidR="001613C5">
        <w:rPr>
          <w:sz w:val="24"/>
          <w:szCs w:val="24"/>
        </w:rPr>
        <w:t>dell’ing</w:t>
      </w:r>
      <w:proofErr w:type="spellEnd"/>
      <w:r w:rsidR="001613C5">
        <w:rPr>
          <w:sz w:val="24"/>
          <w:szCs w:val="24"/>
        </w:rPr>
        <w:t>. Leonardo Penzo</w:t>
      </w:r>
    </w:p>
    <w:p w14:paraId="6C33C7FB" w14:textId="6905329D" w:rsidR="001613C5" w:rsidRDefault="001613C5" w:rsidP="00C574B2">
      <w:pPr>
        <w:pStyle w:val="Nessunaspaziatura"/>
        <w:ind w:left="5245" w:firstLine="348"/>
      </w:pPr>
      <w:proofErr w:type="spellStart"/>
      <w:proofErr w:type="gramStart"/>
      <w:r>
        <w:t>Pec</w:t>
      </w:r>
      <w:proofErr w:type="spellEnd"/>
      <w:r>
        <w:t xml:space="preserve"> :</w:t>
      </w:r>
      <w:proofErr w:type="gramEnd"/>
      <w:r>
        <w:t xml:space="preserve"> [..] </w:t>
      </w:r>
    </w:p>
    <w:p w14:paraId="4ED96412" w14:textId="3561A87D" w:rsidR="0086248D" w:rsidRPr="001613C5" w:rsidRDefault="001613C5" w:rsidP="00C574B2">
      <w:pPr>
        <w:pStyle w:val="Nessunaspaziatura"/>
        <w:ind w:left="5245" w:firstLine="348"/>
        <w:rPr>
          <w:sz w:val="24"/>
          <w:szCs w:val="24"/>
        </w:rPr>
      </w:pPr>
      <w:r>
        <w:t xml:space="preserve">e-mail </w:t>
      </w:r>
      <w:hyperlink r:id="rId7" w:history="1">
        <w:r w:rsidRPr="004A746F">
          <w:rPr>
            <w:rStyle w:val="Collegamentoipertestuale"/>
          </w:rPr>
          <w:t>Stoccaggio@edison.it</w:t>
        </w:r>
      </w:hyperlink>
      <w:r>
        <w:t xml:space="preserve"> </w:t>
      </w:r>
    </w:p>
    <w:p w14:paraId="3A791B10" w14:textId="77777777" w:rsidR="000810A3" w:rsidRDefault="000810A3" w:rsidP="0040040A">
      <w:pPr>
        <w:pStyle w:val="Nessunaspaziatura"/>
        <w:rPr>
          <w:sz w:val="24"/>
          <w:szCs w:val="24"/>
        </w:rPr>
      </w:pPr>
    </w:p>
    <w:p w14:paraId="3B6ADB91" w14:textId="77777777" w:rsidR="0040040A" w:rsidRDefault="0040040A" w:rsidP="0086248D">
      <w:pPr>
        <w:pStyle w:val="Nessunaspaziatura"/>
        <w:spacing w:line="276" w:lineRule="auto"/>
        <w:rPr>
          <w:sz w:val="24"/>
          <w:szCs w:val="24"/>
        </w:rPr>
      </w:pPr>
    </w:p>
    <w:p w14:paraId="07C425B1" w14:textId="5FFC67A6" w:rsidR="0086248D" w:rsidRDefault="0086248D" w:rsidP="0040040A">
      <w:pPr>
        <w:pStyle w:val="Nessunaspaziatura"/>
        <w:spacing w:line="276" w:lineRule="auto"/>
        <w:rPr>
          <w:sz w:val="24"/>
          <w:szCs w:val="24"/>
        </w:rPr>
      </w:pPr>
      <w:r w:rsidRPr="001613C5">
        <w:rPr>
          <w:sz w:val="24"/>
          <w:szCs w:val="24"/>
        </w:rPr>
        <w:t xml:space="preserve">li, </w:t>
      </w:r>
      <w:r w:rsidR="001613C5">
        <w:rPr>
          <w:sz w:val="24"/>
          <w:szCs w:val="24"/>
        </w:rPr>
        <w:t>[..] marzo</w:t>
      </w:r>
      <w:r w:rsidRPr="007B008E">
        <w:rPr>
          <w:sz w:val="24"/>
          <w:szCs w:val="24"/>
        </w:rPr>
        <w:t xml:space="preserve"> 2023 </w:t>
      </w:r>
    </w:p>
    <w:p w14:paraId="511AE478" w14:textId="746A61E8" w:rsidR="0086248D" w:rsidRPr="007B008E" w:rsidRDefault="0086248D" w:rsidP="0086248D">
      <w:pPr>
        <w:pStyle w:val="Nessunaspaziatura"/>
        <w:spacing w:line="276" w:lineRule="auto"/>
        <w:jc w:val="both"/>
        <w:rPr>
          <w:sz w:val="24"/>
          <w:szCs w:val="24"/>
        </w:rPr>
      </w:pPr>
    </w:p>
    <w:p w14:paraId="0FBBAFCE" w14:textId="77777777" w:rsidR="0086248D" w:rsidRDefault="0086248D" w:rsidP="0086248D">
      <w:pPr>
        <w:pStyle w:val="Nessunaspaziatura"/>
        <w:spacing w:line="276" w:lineRule="auto"/>
        <w:rPr>
          <w:sz w:val="24"/>
          <w:szCs w:val="24"/>
        </w:rPr>
      </w:pPr>
    </w:p>
    <w:p w14:paraId="2E542E01" w14:textId="177154D0" w:rsidR="0086248D" w:rsidRPr="00132E29" w:rsidRDefault="0086248D" w:rsidP="0086248D">
      <w:pPr>
        <w:pStyle w:val="Nessunaspaziatura"/>
        <w:spacing w:line="276" w:lineRule="auto"/>
        <w:jc w:val="both"/>
        <w:rPr>
          <w:b/>
          <w:bCs/>
          <w:sz w:val="28"/>
          <w:szCs w:val="28"/>
        </w:rPr>
      </w:pPr>
      <w:r w:rsidRPr="00132E29">
        <w:rPr>
          <w:b/>
          <w:bCs/>
          <w:sz w:val="28"/>
          <w:szCs w:val="28"/>
        </w:rPr>
        <w:t xml:space="preserve">Oggetto: – </w:t>
      </w:r>
      <w:r w:rsidR="001613C5">
        <w:rPr>
          <w:b/>
          <w:bCs/>
          <w:sz w:val="28"/>
          <w:szCs w:val="28"/>
        </w:rPr>
        <w:t xml:space="preserve">Conferimenti di breve termine AT 2022/2023 - </w:t>
      </w:r>
      <w:r w:rsidRPr="00132E29">
        <w:rPr>
          <w:b/>
          <w:bCs/>
          <w:sz w:val="28"/>
          <w:szCs w:val="28"/>
        </w:rPr>
        <w:t xml:space="preserve">Deposito </w:t>
      </w:r>
      <w:r>
        <w:rPr>
          <w:b/>
          <w:bCs/>
          <w:sz w:val="28"/>
          <w:szCs w:val="28"/>
        </w:rPr>
        <w:t>Cauzionale</w:t>
      </w:r>
      <w:r w:rsidR="0040040A">
        <w:rPr>
          <w:b/>
          <w:bCs/>
          <w:sz w:val="28"/>
          <w:szCs w:val="28"/>
        </w:rPr>
        <w:t xml:space="preserve">. </w:t>
      </w:r>
    </w:p>
    <w:p w14:paraId="6E75B0BB" w14:textId="77777777" w:rsidR="0086248D" w:rsidRPr="003917F5" w:rsidRDefault="0086248D" w:rsidP="0086248D">
      <w:pPr>
        <w:pStyle w:val="Nessunaspaziatura"/>
        <w:spacing w:line="276" w:lineRule="auto"/>
        <w:ind w:left="4608" w:firstLine="348"/>
        <w:jc w:val="right"/>
        <w:rPr>
          <w:sz w:val="24"/>
          <w:szCs w:val="24"/>
        </w:rPr>
      </w:pPr>
    </w:p>
    <w:p w14:paraId="3409E401" w14:textId="77777777" w:rsidR="0086248D" w:rsidRPr="00BC02FF" w:rsidRDefault="0086248D" w:rsidP="0086248D">
      <w:pPr>
        <w:pStyle w:val="Nessunaspaziatura"/>
        <w:spacing w:line="276" w:lineRule="auto"/>
        <w:rPr>
          <w:sz w:val="24"/>
          <w:szCs w:val="24"/>
        </w:rPr>
      </w:pPr>
      <w:r w:rsidRPr="00BC02FF">
        <w:rPr>
          <w:sz w:val="24"/>
          <w:szCs w:val="24"/>
        </w:rPr>
        <w:t xml:space="preserve">Premesso che,  </w:t>
      </w:r>
    </w:p>
    <w:p w14:paraId="7A7CCDC1" w14:textId="77777777" w:rsidR="0086248D" w:rsidRDefault="0086248D" w:rsidP="0086248D">
      <w:pPr>
        <w:pStyle w:val="Nessunaspaziatura"/>
        <w:spacing w:line="276" w:lineRule="auto"/>
        <w:rPr>
          <w:sz w:val="28"/>
          <w:szCs w:val="28"/>
        </w:rPr>
      </w:pPr>
    </w:p>
    <w:p w14:paraId="2AC790C5" w14:textId="1CE773D0" w:rsidR="00CA436B" w:rsidRDefault="001613C5" w:rsidP="00CA436B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 w:rsidR="000810A3" w:rsidRPr="00E830E4">
        <w:rPr>
          <w:i/>
          <w:iCs/>
          <w:sz w:val="24"/>
          <w:szCs w:val="24"/>
          <w:highlight w:val="yellow"/>
        </w:rPr>
        <w:t xml:space="preserve">lo </w:t>
      </w:r>
      <w:proofErr w:type="spellStart"/>
      <w:r w:rsidR="000810A3" w:rsidRPr="00E830E4">
        <w:rPr>
          <w:i/>
          <w:iCs/>
          <w:sz w:val="24"/>
          <w:szCs w:val="24"/>
          <w:highlight w:val="yellow"/>
        </w:rPr>
        <w:t>Shipper</w:t>
      </w:r>
      <w:proofErr w:type="spellEnd"/>
      <w:r w:rsidR="000810A3" w:rsidRPr="00E830E4">
        <w:rPr>
          <w:sz w:val="24"/>
          <w:szCs w:val="24"/>
          <w:highlight w:val="yellow"/>
        </w:rPr>
        <w:t xml:space="preserve"> (Ragione Sociale</w:t>
      </w:r>
      <w:r w:rsidR="000810A3">
        <w:rPr>
          <w:sz w:val="24"/>
          <w:szCs w:val="24"/>
        </w:rPr>
        <w:t>)</w:t>
      </w:r>
      <w:r>
        <w:rPr>
          <w:sz w:val="24"/>
          <w:szCs w:val="24"/>
        </w:rPr>
        <w:t>] ha rilasciato in favore di Edison Stoccaggio</w:t>
      </w:r>
      <w:r w:rsidR="000810A3">
        <w:rPr>
          <w:sz w:val="24"/>
          <w:szCs w:val="24"/>
        </w:rPr>
        <w:t xml:space="preserve"> S.p.A.</w:t>
      </w:r>
      <w:r>
        <w:rPr>
          <w:sz w:val="24"/>
          <w:szCs w:val="24"/>
        </w:rPr>
        <w:t xml:space="preserve"> un deposito cauzionale pari a </w:t>
      </w:r>
      <w:r w:rsidRPr="00E830E4">
        <w:rPr>
          <w:sz w:val="24"/>
          <w:szCs w:val="24"/>
          <w:highlight w:val="yellow"/>
        </w:rPr>
        <w:t xml:space="preserve">[..] </w:t>
      </w:r>
      <w:r w:rsidR="000810A3" w:rsidRPr="00E830E4">
        <w:rPr>
          <w:sz w:val="24"/>
          <w:szCs w:val="24"/>
          <w:highlight w:val="yellow"/>
        </w:rPr>
        <w:t>(Euro</w:t>
      </w:r>
      <w:r w:rsidR="000810A3">
        <w:rPr>
          <w:sz w:val="24"/>
          <w:szCs w:val="24"/>
        </w:rPr>
        <w:t xml:space="preserve">/) </w:t>
      </w:r>
      <w:r>
        <w:rPr>
          <w:sz w:val="24"/>
          <w:szCs w:val="24"/>
        </w:rPr>
        <w:t xml:space="preserve">a copertura delle obbligazioni derivanti dalle offerte di acquisto per la partecipazione ai conferimenti dei servizi di stoccaggio </w:t>
      </w:r>
      <w:r w:rsidR="00D502A7">
        <w:rPr>
          <w:sz w:val="24"/>
          <w:szCs w:val="24"/>
        </w:rPr>
        <w:t>Anno Termico 2023/2024 (di seguito “</w:t>
      </w:r>
      <w:r w:rsidRPr="00D502A7">
        <w:rPr>
          <w:i/>
          <w:iCs/>
          <w:sz w:val="24"/>
          <w:szCs w:val="24"/>
        </w:rPr>
        <w:t>AT 2023/2024</w:t>
      </w:r>
      <w:r w:rsidR="00D502A7">
        <w:rPr>
          <w:sz w:val="24"/>
          <w:szCs w:val="24"/>
        </w:rPr>
        <w:t xml:space="preserve">”) </w:t>
      </w:r>
      <w:r>
        <w:rPr>
          <w:sz w:val="24"/>
          <w:szCs w:val="24"/>
        </w:rPr>
        <w:t xml:space="preserve">come regolati dal Codice di Stoccaggio della Edison Stoccaggio </w:t>
      </w:r>
      <w:r w:rsidR="000810A3">
        <w:rPr>
          <w:sz w:val="24"/>
          <w:szCs w:val="24"/>
        </w:rPr>
        <w:t xml:space="preserve">S.p.A. </w:t>
      </w:r>
      <w:r>
        <w:rPr>
          <w:sz w:val="24"/>
          <w:szCs w:val="24"/>
        </w:rPr>
        <w:t xml:space="preserve">rinvenibile sul sito </w:t>
      </w:r>
      <w:hyperlink r:id="rId8" w:history="1">
        <w:r w:rsidR="0040040A" w:rsidRPr="004A746F">
          <w:rPr>
            <w:rStyle w:val="Collegamentoipertestuale"/>
            <w:sz w:val="24"/>
            <w:szCs w:val="24"/>
          </w:rPr>
          <w:t>www.edisonstocaggio.it</w:t>
        </w:r>
      </w:hyperlink>
      <w:r w:rsidR="0040040A">
        <w:rPr>
          <w:sz w:val="24"/>
          <w:szCs w:val="24"/>
        </w:rPr>
        <w:t xml:space="preserve"> (di seguito,  “</w:t>
      </w:r>
      <w:r w:rsidR="0040040A" w:rsidRPr="0040040A">
        <w:rPr>
          <w:i/>
          <w:iCs/>
          <w:sz w:val="24"/>
          <w:szCs w:val="24"/>
        </w:rPr>
        <w:t>Deposito Cauzionale Partecipazione Asta Servizio di Stoccaggio 2023/2024</w:t>
      </w:r>
      <w:r w:rsidR="0040040A">
        <w:rPr>
          <w:sz w:val="24"/>
          <w:szCs w:val="24"/>
        </w:rPr>
        <w:t>”)</w:t>
      </w:r>
      <w:r>
        <w:rPr>
          <w:sz w:val="24"/>
          <w:szCs w:val="24"/>
        </w:rPr>
        <w:t xml:space="preserve">; </w:t>
      </w:r>
    </w:p>
    <w:p w14:paraId="786F9774" w14:textId="5F70147F" w:rsidR="00CA436B" w:rsidRPr="00CA436B" w:rsidRDefault="00CA436B" w:rsidP="00CA436B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A436B">
        <w:rPr>
          <w:sz w:val="24"/>
          <w:szCs w:val="24"/>
        </w:rPr>
        <w:t xml:space="preserve">con </w:t>
      </w:r>
      <w:hyperlink r:id="rId9" w:history="1">
        <w:r w:rsidRPr="00CA436B">
          <w:rPr>
            <w:sz w:val="24"/>
            <w:szCs w:val="24"/>
          </w:rPr>
          <w:t>Delibera 93/2023</w:t>
        </w:r>
      </w:hyperlink>
      <w:r w:rsidRPr="00CA436B">
        <w:rPr>
          <w:sz w:val="24"/>
          <w:szCs w:val="24"/>
        </w:rPr>
        <w:t xml:space="preserve"> ARERA, dando seguito all’atto di indirizzo del MASE del 6 marzo 2023 e per favorire il riempimento in vista dell’anno termico stoccaggio 2023/2024</w:t>
      </w:r>
      <w:r w:rsidR="00D502A7">
        <w:rPr>
          <w:sz w:val="24"/>
          <w:szCs w:val="24"/>
        </w:rPr>
        <w:t>,</w:t>
      </w:r>
      <w:r w:rsidRPr="00CA43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 previsto che </w:t>
      </w:r>
      <w:r w:rsidRPr="00CA436B">
        <w:rPr>
          <w:sz w:val="24"/>
          <w:szCs w:val="24"/>
        </w:rPr>
        <w:t>le imprese di stoccaggio renda</w:t>
      </w:r>
      <w:r>
        <w:rPr>
          <w:sz w:val="24"/>
          <w:szCs w:val="24"/>
        </w:rPr>
        <w:t xml:space="preserve">no </w:t>
      </w:r>
      <w:r w:rsidRPr="00CA436B">
        <w:rPr>
          <w:sz w:val="24"/>
          <w:szCs w:val="24"/>
        </w:rPr>
        <w:t>disponibi</w:t>
      </w:r>
      <w:r>
        <w:rPr>
          <w:sz w:val="24"/>
          <w:szCs w:val="24"/>
        </w:rPr>
        <w:t xml:space="preserve">le il </w:t>
      </w:r>
      <w:r w:rsidRPr="00CA436B">
        <w:rPr>
          <w:sz w:val="24"/>
          <w:szCs w:val="24"/>
          <w:u w:val="single"/>
        </w:rPr>
        <w:t xml:space="preserve">servizio di riempimento in </w:t>
      </w:r>
      <w:proofErr w:type="spellStart"/>
      <w:r w:rsidRPr="00CA436B">
        <w:rPr>
          <w:sz w:val="24"/>
          <w:szCs w:val="24"/>
          <w:u w:val="single"/>
        </w:rPr>
        <w:t>controflusso</w:t>
      </w:r>
      <w:proofErr w:type="spellEnd"/>
      <w:r w:rsidRPr="00CA436B">
        <w:rPr>
          <w:sz w:val="24"/>
          <w:szCs w:val="24"/>
        </w:rPr>
        <w:t xml:space="preserve"> che prevede la disponibilità di capacità di iniezione nella corrente fase di erogazione associata ad una corrispondente capacità di spazio per l’AT 2</w:t>
      </w:r>
      <w:r w:rsidR="000810A3">
        <w:rPr>
          <w:sz w:val="24"/>
          <w:szCs w:val="24"/>
        </w:rPr>
        <w:t>023</w:t>
      </w:r>
      <w:r w:rsidRPr="00CA436B">
        <w:rPr>
          <w:sz w:val="24"/>
          <w:szCs w:val="24"/>
        </w:rPr>
        <w:t>/2</w:t>
      </w:r>
      <w:r w:rsidR="000810A3">
        <w:rPr>
          <w:sz w:val="24"/>
          <w:szCs w:val="24"/>
        </w:rPr>
        <w:t>02</w:t>
      </w:r>
      <w:r w:rsidRPr="00CA436B">
        <w:rPr>
          <w:sz w:val="24"/>
          <w:szCs w:val="24"/>
        </w:rPr>
        <w:t>4 e capacità di iniezione ed erogazione per i servizi di punta o uniforme nella fase di erogazione dell’AT 2</w:t>
      </w:r>
      <w:r w:rsidR="000810A3">
        <w:rPr>
          <w:sz w:val="24"/>
          <w:szCs w:val="24"/>
        </w:rPr>
        <w:t>02</w:t>
      </w:r>
      <w:r w:rsidRPr="00CA436B">
        <w:rPr>
          <w:sz w:val="24"/>
          <w:szCs w:val="24"/>
        </w:rPr>
        <w:t>3/2</w:t>
      </w:r>
      <w:r w:rsidR="000810A3">
        <w:rPr>
          <w:sz w:val="24"/>
          <w:szCs w:val="24"/>
        </w:rPr>
        <w:t>02</w:t>
      </w:r>
      <w:r w:rsidRPr="00CA436B">
        <w:rPr>
          <w:sz w:val="24"/>
          <w:szCs w:val="24"/>
        </w:rPr>
        <w:t>4. Tale servizio è reso disponibile anche ai soggetti che non dispongono di capacità per l’AT</w:t>
      </w:r>
      <w:r w:rsidR="000A6224">
        <w:rPr>
          <w:sz w:val="24"/>
          <w:szCs w:val="24"/>
        </w:rPr>
        <w:t xml:space="preserve"> </w:t>
      </w:r>
      <w:r w:rsidRPr="00CA436B">
        <w:rPr>
          <w:sz w:val="24"/>
          <w:szCs w:val="24"/>
        </w:rPr>
        <w:t>2</w:t>
      </w:r>
      <w:r w:rsidR="000A6224">
        <w:rPr>
          <w:sz w:val="24"/>
          <w:szCs w:val="24"/>
        </w:rPr>
        <w:t>02</w:t>
      </w:r>
      <w:r w:rsidRPr="00CA436B">
        <w:rPr>
          <w:sz w:val="24"/>
          <w:szCs w:val="24"/>
        </w:rPr>
        <w:t>2/2</w:t>
      </w:r>
      <w:r w:rsidR="000A6224">
        <w:rPr>
          <w:sz w:val="24"/>
          <w:szCs w:val="24"/>
        </w:rPr>
        <w:t>02</w:t>
      </w:r>
      <w:r w:rsidRPr="00CA436B">
        <w:rPr>
          <w:sz w:val="24"/>
          <w:szCs w:val="24"/>
        </w:rPr>
        <w:t xml:space="preserve">3 e viene conferito mediante allocazione di capacità di iniezione nell’ambito delle procedure ex art. 16 del </w:t>
      </w:r>
      <w:hyperlink r:id="rId10" w:history="1">
        <w:r w:rsidRPr="00CA436B">
          <w:rPr>
            <w:sz w:val="24"/>
            <w:szCs w:val="24"/>
          </w:rPr>
          <w:t>RAST</w:t>
        </w:r>
      </w:hyperlink>
      <w:r w:rsidRPr="00CA436B">
        <w:rPr>
          <w:rFonts w:ascii="Calibri" w:hAnsi="Calibri"/>
        </w:rPr>
        <w:t>;</w:t>
      </w:r>
    </w:p>
    <w:p w14:paraId="7721EF3A" w14:textId="64C6F578" w:rsidR="00CA436B" w:rsidRDefault="000810A3" w:rsidP="00CA436B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="00CA436B" w:rsidRPr="00CA436B">
        <w:rPr>
          <w:sz w:val="24"/>
          <w:szCs w:val="24"/>
        </w:rPr>
        <w:t xml:space="preserve">poter accedere al </w:t>
      </w:r>
      <w:r w:rsidR="00CA436B" w:rsidRPr="0040040A">
        <w:rPr>
          <w:sz w:val="24"/>
          <w:szCs w:val="24"/>
          <w:u w:val="single"/>
        </w:rPr>
        <w:t xml:space="preserve">servizio di riempimento in </w:t>
      </w:r>
      <w:proofErr w:type="spellStart"/>
      <w:r w:rsidR="00CA436B" w:rsidRPr="0040040A">
        <w:rPr>
          <w:sz w:val="24"/>
          <w:szCs w:val="24"/>
          <w:u w:val="single"/>
        </w:rPr>
        <w:t>controflusso</w:t>
      </w:r>
      <w:proofErr w:type="spellEnd"/>
      <w:r w:rsidR="00CA436B" w:rsidRPr="00CA436B">
        <w:rPr>
          <w:sz w:val="24"/>
          <w:szCs w:val="24"/>
        </w:rPr>
        <w:t xml:space="preserve"> tramite conferimenti di breve termine A</w:t>
      </w:r>
      <w:r w:rsidR="00CA436B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="00CA436B" w:rsidRPr="00CA436B">
        <w:rPr>
          <w:sz w:val="24"/>
          <w:szCs w:val="24"/>
        </w:rPr>
        <w:t xml:space="preserve">2022/2023, </w:t>
      </w:r>
      <w:r>
        <w:rPr>
          <w:sz w:val="24"/>
          <w:szCs w:val="24"/>
        </w:rPr>
        <w:t>[</w:t>
      </w:r>
      <w:r w:rsidRPr="00E830E4">
        <w:rPr>
          <w:i/>
          <w:iCs/>
          <w:sz w:val="24"/>
          <w:szCs w:val="24"/>
          <w:highlight w:val="yellow"/>
        </w:rPr>
        <w:t xml:space="preserve">lo </w:t>
      </w:r>
      <w:proofErr w:type="spellStart"/>
      <w:r w:rsidRPr="00E830E4">
        <w:rPr>
          <w:i/>
          <w:iCs/>
          <w:sz w:val="24"/>
          <w:szCs w:val="24"/>
          <w:highlight w:val="yellow"/>
        </w:rPr>
        <w:t>Shipper</w:t>
      </w:r>
      <w:proofErr w:type="spellEnd"/>
      <w:r w:rsidRPr="00E830E4">
        <w:rPr>
          <w:sz w:val="24"/>
          <w:szCs w:val="24"/>
          <w:highlight w:val="yellow"/>
        </w:rPr>
        <w:t xml:space="preserve"> (Ragione Sociale</w:t>
      </w:r>
      <w:r>
        <w:rPr>
          <w:sz w:val="24"/>
          <w:szCs w:val="24"/>
        </w:rPr>
        <w:t xml:space="preserve">)] </w:t>
      </w:r>
      <w:r w:rsidR="00CA436B">
        <w:rPr>
          <w:sz w:val="24"/>
          <w:szCs w:val="24"/>
        </w:rPr>
        <w:t xml:space="preserve">è </w:t>
      </w:r>
      <w:r w:rsidR="00CA436B" w:rsidRPr="00CA436B">
        <w:rPr>
          <w:sz w:val="24"/>
          <w:szCs w:val="24"/>
        </w:rPr>
        <w:t>tenuto</w:t>
      </w:r>
      <w:r w:rsidR="00D502A7">
        <w:rPr>
          <w:sz w:val="24"/>
          <w:szCs w:val="24"/>
        </w:rPr>
        <w:t>,</w:t>
      </w:r>
      <w:r w:rsidR="00CA436B" w:rsidRPr="00CA436B">
        <w:rPr>
          <w:sz w:val="24"/>
          <w:szCs w:val="24"/>
        </w:rPr>
        <w:t xml:space="preserve"> </w:t>
      </w:r>
      <w:r>
        <w:rPr>
          <w:sz w:val="24"/>
          <w:szCs w:val="24"/>
        </w:rPr>
        <w:t>comunque</w:t>
      </w:r>
      <w:r w:rsidR="00D502A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A436B" w:rsidRPr="00CA436B">
        <w:rPr>
          <w:sz w:val="24"/>
          <w:szCs w:val="24"/>
        </w:rPr>
        <w:t>al rilascio</w:t>
      </w:r>
      <w:r>
        <w:rPr>
          <w:sz w:val="24"/>
          <w:szCs w:val="24"/>
        </w:rPr>
        <w:t xml:space="preserve"> in favore di Edison Stoccaggio S.p.A.</w:t>
      </w:r>
      <w:r w:rsidR="00CA436B" w:rsidRPr="00CA436B">
        <w:rPr>
          <w:sz w:val="24"/>
          <w:szCs w:val="24"/>
        </w:rPr>
        <w:t xml:space="preserve"> di un deposito cauzionale</w:t>
      </w:r>
      <w:r>
        <w:rPr>
          <w:sz w:val="24"/>
          <w:szCs w:val="24"/>
        </w:rPr>
        <w:t xml:space="preserve"> a copertura delle offerte di acquisto correlate al servizio di riempimento in </w:t>
      </w:r>
      <w:proofErr w:type="spellStart"/>
      <w:r>
        <w:rPr>
          <w:sz w:val="24"/>
          <w:szCs w:val="24"/>
        </w:rPr>
        <w:t>controflusso</w:t>
      </w:r>
      <w:proofErr w:type="spellEnd"/>
      <w:r w:rsidR="00CA436B" w:rsidRPr="00CA436B">
        <w:rPr>
          <w:sz w:val="24"/>
          <w:szCs w:val="24"/>
        </w:rPr>
        <w:t xml:space="preserve">; </w:t>
      </w:r>
    </w:p>
    <w:p w14:paraId="696150C8" w14:textId="0F18096E" w:rsidR="000810A3" w:rsidRDefault="00CA436B" w:rsidP="000810A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caso in cui all’esito delle aste </w:t>
      </w:r>
      <w:r w:rsidR="000810A3">
        <w:rPr>
          <w:sz w:val="24"/>
          <w:szCs w:val="24"/>
        </w:rPr>
        <w:t xml:space="preserve">AT 2023/2024 </w:t>
      </w:r>
      <w:r>
        <w:rPr>
          <w:sz w:val="24"/>
          <w:szCs w:val="24"/>
        </w:rPr>
        <w:t>[</w:t>
      </w:r>
      <w:r w:rsidR="000810A3" w:rsidRPr="00E830E4">
        <w:rPr>
          <w:i/>
          <w:iCs/>
          <w:sz w:val="24"/>
          <w:szCs w:val="24"/>
          <w:highlight w:val="yellow"/>
        </w:rPr>
        <w:t xml:space="preserve">lo </w:t>
      </w:r>
      <w:proofErr w:type="spellStart"/>
      <w:r w:rsidR="000810A3" w:rsidRPr="00E830E4">
        <w:rPr>
          <w:i/>
          <w:iCs/>
          <w:sz w:val="24"/>
          <w:szCs w:val="24"/>
          <w:highlight w:val="yellow"/>
        </w:rPr>
        <w:t>Shipper</w:t>
      </w:r>
      <w:proofErr w:type="spellEnd"/>
      <w:r w:rsidR="000810A3" w:rsidRPr="00E830E4">
        <w:rPr>
          <w:sz w:val="24"/>
          <w:szCs w:val="24"/>
          <w:highlight w:val="yellow"/>
        </w:rPr>
        <w:t xml:space="preserve"> (Ragione Sociale</w:t>
      </w:r>
      <w:r w:rsidR="000810A3">
        <w:rPr>
          <w:sz w:val="24"/>
          <w:szCs w:val="24"/>
        </w:rPr>
        <w:t>)</w:t>
      </w:r>
      <w:r>
        <w:rPr>
          <w:sz w:val="24"/>
          <w:szCs w:val="24"/>
        </w:rPr>
        <w:t xml:space="preserve">] risultasse assegnatario di capacità di spazio </w:t>
      </w:r>
      <w:r w:rsidR="000810A3">
        <w:rPr>
          <w:sz w:val="24"/>
          <w:szCs w:val="24"/>
        </w:rPr>
        <w:t>lo stesso sarà tenuto a presentare idonee garanzie a copertura delle obbligazioni derivanti dalla procedura di conferimento. In tal caso</w:t>
      </w:r>
      <w:r w:rsidR="00D502A7">
        <w:rPr>
          <w:sz w:val="24"/>
          <w:szCs w:val="24"/>
        </w:rPr>
        <w:t>,</w:t>
      </w:r>
      <w:r w:rsidR="000810A3">
        <w:rPr>
          <w:sz w:val="24"/>
          <w:szCs w:val="24"/>
        </w:rPr>
        <w:t xml:space="preserve"> il deposito cauzionale di cui in oggetto verrà restituito da Edison Stoccaggio S.p.A. che riceverà garanzia sostitutiva allo stesso; </w:t>
      </w:r>
    </w:p>
    <w:p w14:paraId="0BC5DF03" w14:textId="1577FCF5" w:rsidR="0086248D" w:rsidRDefault="0086248D" w:rsidP="00CA436B">
      <w:pPr>
        <w:pStyle w:val="Nessunaspaziatura"/>
        <w:spacing w:line="276" w:lineRule="auto"/>
        <w:jc w:val="both"/>
        <w:rPr>
          <w:sz w:val="24"/>
          <w:szCs w:val="24"/>
        </w:rPr>
      </w:pPr>
    </w:p>
    <w:p w14:paraId="7FE37E5C" w14:textId="69CF369C" w:rsidR="0086248D" w:rsidRDefault="00CA436B" w:rsidP="0086248D">
      <w:pPr>
        <w:pStyle w:val="Nessunaspaziatur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Tutto ciò premesso, con la presente </w:t>
      </w:r>
      <w:r w:rsidR="0040040A">
        <w:rPr>
          <w:sz w:val="24"/>
          <w:szCs w:val="24"/>
        </w:rPr>
        <w:t>[</w:t>
      </w:r>
      <w:r w:rsidR="0040040A" w:rsidRPr="00E830E4">
        <w:rPr>
          <w:i/>
          <w:iCs/>
          <w:sz w:val="24"/>
          <w:szCs w:val="24"/>
          <w:highlight w:val="yellow"/>
        </w:rPr>
        <w:t xml:space="preserve">lo </w:t>
      </w:r>
      <w:proofErr w:type="spellStart"/>
      <w:r w:rsidR="0040040A" w:rsidRPr="00E830E4">
        <w:rPr>
          <w:i/>
          <w:iCs/>
          <w:sz w:val="24"/>
          <w:szCs w:val="24"/>
          <w:highlight w:val="yellow"/>
        </w:rPr>
        <w:t>Shipper</w:t>
      </w:r>
      <w:proofErr w:type="spellEnd"/>
      <w:r w:rsidR="0040040A" w:rsidRPr="00E830E4">
        <w:rPr>
          <w:sz w:val="24"/>
          <w:szCs w:val="24"/>
          <w:highlight w:val="yellow"/>
        </w:rPr>
        <w:t xml:space="preserve"> (Ragione Sociale</w:t>
      </w:r>
      <w:r w:rsidR="0040040A">
        <w:rPr>
          <w:sz w:val="24"/>
          <w:szCs w:val="24"/>
        </w:rPr>
        <w:t xml:space="preserve">] </w:t>
      </w:r>
      <w:r w:rsidR="000810A3">
        <w:rPr>
          <w:sz w:val="24"/>
          <w:szCs w:val="24"/>
        </w:rPr>
        <w:t xml:space="preserve">chiede di poter </w:t>
      </w:r>
      <w:r w:rsidR="0040040A">
        <w:rPr>
          <w:sz w:val="24"/>
          <w:szCs w:val="24"/>
        </w:rPr>
        <w:t xml:space="preserve">utilizzare </w:t>
      </w:r>
      <w:r w:rsidR="0040040A" w:rsidRPr="0040040A">
        <w:rPr>
          <w:sz w:val="24"/>
          <w:szCs w:val="24"/>
        </w:rPr>
        <w:t xml:space="preserve">il Deposito Cauzionale Partecipazione Asta Servizio di Stoccaggio 2023/2024 </w:t>
      </w:r>
      <w:r w:rsidR="000A6224">
        <w:rPr>
          <w:sz w:val="24"/>
          <w:szCs w:val="24"/>
        </w:rPr>
        <w:t xml:space="preserve">a copertura </w:t>
      </w:r>
      <w:r w:rsidR="00D502A7">
        <w:rPr>
          <w:sz w:val="24"/>
          <w:szCs w:val="24"/>
        </w:rPr>
        <w:t xml:space="preserve">anche </w:t>
      </w:r>
      <w:r w:rsidR="0040040A">
        <w:rPr>
          <w:sz w:val="24"/>
          <w:szCs w:val="24"/>
        </w:rPr>
        <w:t xml:space="preserve">delle obbligazioni </w:t>
      </w:r>
      <w:r w:rsidR="0040040A">
        <w:rPr>
          <w:sz w:val="24"/>
          <w:szCs w:val="24"/>
        </w:rPr>
        <w:lastRenderedPageBreak/>
        <w:t xml:space="preserve">derivanti dal potenziale acceso al </w:t>
      </w:r>
      <w:r w:rsidR="0040040A" w:rsidRPr="0040040A">
        <w:rPr>
          <w:sz w:val="24"/>
          <w:szCs w:val="24"/>
          <w:u w:val="single"/>
        </w:rPr>
        <w:t xml:space="preserve">servizio di riempimento in </w:t>
      </w:r>
      <w:proofErr w:type="spellStart"/>
      <w:r w:rsidR="0040040A" w:rsidRPr="0040040A">
        <w:rPr>
          <w:sz w:val="24"/>
          <w:szCs w:val="24"/>
          <w:u w:val="single"/>
        </w:rPr>
        <w:t>controflusso</w:t>
      </w:r>
      <w:proofErr w:type="spellEnd"/>
      <w:r w:rsidR="0040040A" w:rsidRPr="00CA436B">
        <w:rPr>
          <w:sz w:val="24"/>
          <w:szCs w:val="24"/>
        </w:rPr>
        <w:t xml:space="preserve"> tramite conferimenti di breve termine A</w:t>
      </w:r>
      <w:r w:rsidR="0040040A">
        <w:rPr>
          <w:sz w:val="24"/>
          <w:szCs w:val="24"/>
        </w:rPr>
        <w:t xml:space="preserve">T </w:t>
      </w:r>
      <w:r w:rsidR="0040040A" w:rsidRPr="00CA436B">
        <w:rPr>
          <w:sz w:val="24"/>
          <w:szCs w:val="24"/>
        </w:rPr>
        <w:t>2022/2023</w:t>
      </w:r>
      <w:r w:rsidR="0040040A">
        <w:rPr>
          <w:sz w:val="24"/>
          <w:szCs w:val="24"/>
        </w:rPr>
        <w:t xml:space="preserve">. </w:t>
      </w:r>
    </w:p>
    <w:p w14:paraId="0018EF39" w14:textId="579E141B" w:rsidR="0040040A" w:rsidRDefault="0040040A" w:rsidP="0086248D">
      <w:pPr>
        <w:pStyle w:val="Nessunaspaziatura"/>
        <w:spacing w:line="276" w:lineRule="auto"/>
        <w:jc w:val="both"/>
        <w:rPr>
          <w:sz w:val="24"/>
          <w:szCs w:val="24"/>
        </w:rPr>
      </w:pPr>
    </w:p>
    <w:p w14:paraId="3B66C58F" w14:textId="5561416E" w:rsidR="0040040A" w:rsidRDefault="0040040A" w:rsidP="0040040A">
      <w:pPr>
        <w:pStyle w:val="Nessunaspaziatur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 caso in cui all’esito delle aste AT 2023/2024 [</w:t>
      </w:r>
      <w:r w:rsidRPr="00E830E4">
        <w:rPr>
          <w:i/>
          <w:iCs/>
          <w:sz w:val="24"/>
          <w:szCs w:val="24"/>
          <w:highlight w:val="yellow"/>
        </w:rPr>
        <w:t xml:space="preserve">lo </w:t>
      </w:r>
      <w:proofErr w:type="spellStart"/>
      <w:r w:rsidRPr="00E830E4">
        <w:rPr>
          <w:i/>
          <w:iCs/>
          <w:sz w:val="24"/>
          <w:szCs w:val="24"/>
          <w:highlight w:val="yellow"/>
        </w:rPr>
        <w:t>Shipper</w:t>
      </w:r>
      <w:proofErr w:type="spellEnd"/>
      <w:r w:rsidRPr="00E830E4">
        <w:rPr>
          <w:sz w:val="24"/>
          <w:szCs w:val="24"/>
          <w:highlight w:val="yellow"/>
        </w:rPr>
        <w:t xml:space="preserve"> (Ragione Sociale</w:t>
      </w:r>
      <w:r>
        <w:rPr>
          <w:sz w:val="24"/>
          <w:szCs w:val="24"/>
        </w:rPr>
        <w:t xml:space="preserve">)] risultasse assegnatario di capacità di spazio </w:t>
      </w:r>
      <w:r w:rsidR="00D502A7">
        <w:rPr>
          <w:sz w:val="24"/>
          <w:szCs w:val="24"/>
        </w:rPr>
        <w:t xml:space="preserve">nei depositi di Edison Stoccaggio S.p.A. </w:t>
      </w:r>
      <w:r>
        <w:rPr>
          <w:sz w:val="24"/>
          <w:szCs w:val="24"/>
        </w:rPr>
        <w:t>lo stesso sarà tenuto a presentare idonee garanzie a copertura delle obbligazioni derivanti dalla procedura di conferimento. In tal caso</w:t>
      </w:r>
      <w:r w:rsidR="000A6224">
        <w:rPr>
          <w:sz w:val="24"/>
          <w:szCs w:val="24"/>
        </w:rPr>
        <w:t>,</w:t>
      </w:r>
      <w:r>
        <w:rPr>
          <w:sz w:val="24"/>
          <w:szCs w:val="24"/>
        </w:rPr>
        <w:t xml:space="preserve"> il deposito cauzionale di cui in oggetto verrà restituito da Edison Stoccaggio S.p.A. che riceverà garanzia sostitutiva allo stesso </w:t>
      </w:r>
      <w:r w:rsidR="000A6224">
        <w:rPr>
          <w:sz w:val="24"/>
          <w:szCs w:val="24"/>
        </w:rPr>
        <w:t xml:space="preserve">come da Codice di Stoccaggio. </w:t>
      </w:r>
      <w:r>
        <w:rPr>
          <w:sz w:val="24"/>
          <w:szCs w:val="24"/>
        </w:rPr>
        <w:t xml:space="preserve"> </w:t>
      </w:r>
    </w:p>
    <w:p w14:paraId="1E4879C7" w14:textId="77777777" w:rsidR="0086248D" w:rsidRDefault="0086248D" w:rsidP="0086248D">
      <w:pPr>
        <w:pStyle w:val="Nessunaspaziatura"/>
        <w:spacing w:line="276" w:lineRule="auto"/>
        <w:jc w:val="both"/>
        <w:rPr>
          <w:sz w:val="24"/>
          <w:szCs w:val="24"/>
        </w:rPr>
      </w:pPr>
    </w:p>
    <w:p w14:paraId="5D749C09" w14:textId="77777777" w:rsidR="0086248D" w:rsidRDefault="0086248D" w:rsidP="0086248D">
      <w:pPr>
        <w:pStyle w:val="Nessunaspaziatura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****</w:t>
      </w:r>
    </w:p>
    <w:p w14:paraId="5D92EFD1" w14:textId="77777777" w:rsidR="0086248D" w:rsidRDefault="0086248D" w:rsidP="0086248D">
      <w:pPr>
        <w:pStyle w:val="Nessunaspaziatura"/>
        <w:spacing w:line="276" w:lineRule="auto"/>
        <w:jc w:val="both"/>
        <w:rPr>
          <w:sz w:val="24"/>
          <w:szCs w:val="24"/>
        </w:rPr>
      </w:pPr>
    </w:p>
    <w:p w14:paraId="63409A5E" w14:textId="043DAF67" w:rsidR="00CD7C0A" w:rsidRDefault="000810A3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40040A">
        <w:rPr>
          <w:sz w:val="24"/>
          <w:szCs w:val="24"/>
        </w:rPr>
        <w:t>[</w:t>
      </w:r>
      <w:r w:rsidR="0040040A" w:rsidRPr="00E830E4">
        <w:rPr>
          <w:i/>
          <w:iCs/>
          <w:sz w:val="24"/>
          <w:szCs w:val="24"/>
          <w:highlight w:val="yellow"/>
        </w:rPr>
        <w:t xml:space="preserve">lo </w:t>
      </w:r>
      <w:proofErr w:type="spellStart"/>
      <w:r w:rsidR="0040040A" w:rsidRPr="00E830E4">
        <w:rPr>
          <w:i/>
          <w:iCs/>
          <w:sz w:val="24"/>
          <w:szCs w:val="24"/>
          <w:highlight w:val="yellow"/>
        </w:rPr>
        <w:t>Shipper</w:t>
      </w:r>
      <w:proofErr w:type="spellEnd"/>
      <w:r w:rsidR="0040040A" w:rsidRPr="00E830E4">
        <w:rPr>
          <w:sz w:val="24"/>
          <w:szCs w:val="24"/>
          <w:highlight w:val="yellow"/>
        </w:rPr>
        <w:t xml:space="preserve"> (Ragione Sociale)</w:t>
      </w:r>
      <w:r w:rsidR="0040040A">
        <w:rPr>
          <w:sz w:val="24"/>
          <w:szCs w:val="24"/>
        </w:rPr>
        <w:t xml:space="preserve"> FIRMA DEL LEGALE RAPPRESENTANTE]</w:t>
      </w:r>
    </w:p>
    <w:p w14:paraId="08E0C704" w14:textId="77777777" w:rsidR="0040040A" w:rsidRDefault="0040040A"/>
    <w:p w14:paraId="7F51BB66" w14:textId="7D8F3269" w:rsidR="000810A3" w:rsidRDefault="000810A3"/>
    <w:p w14:paraId="107E7442" w14:textId="77777777" w:rsidR="000A6224" w:rsidRDefault="000A6224" w:rsidP="0040040A">
      <w:pPr>
        <w:pStyle w:val="Nessunaspaziatura"/>
        <w:spacing w:line="276" w:lineRule="auto"/>
        <w:jc w:val="both"/>
        <w:rPr>
          <w:sz w:val="24"/>
          <w:szCs w:val="24"/>
        </w:rPr>
      </w:pPr>
    </w:p>
    <w:p w14:paraId="289B97F3" w14:textId="77777777" w:rsidR="000A6224" w:rsidRDefault="000A6224" w:rsidP="0040040A">
      <w:pPr>
        <w:pStyle w:val="Nessunaspaziatura"/>
        <w:spacing w:line="276" w:lineRule="auto"/>
        <w:jc w:val="both"/>
        <w:rPr>
          <w:sz w:val="24"/>
          <w:szCs w:val="24"/>
        </w:rPr>
      </w:pPr>
    </w:p>
    <w:p w14:paraId="7761533F" w14:textId="5E3EC1BF" w:rsidR="000810A3" w:rsidRPr="0040040A" w:rsidRDefault="000810A3" w:rsidP="0040040A">
      <w:pPr>
        <w:pStyle w:val="Nessunaspaziatura"/>
        <w:spacing w:line="276" w:lineRule="auto"/>
        <w:jc w:val="both"/>
        <w:rPr>
          <w:sz w:val="24"/>
          <w:szCs w:val="24"/>
        </w:rPr>
      </w:pPr>
      <w:r w:rsidRPr="0040040A">
        <w:rPr>
          <w:sz w:val="24"/>
          <w:szCs w:val="24"/>
        </w:rPr>
        <w:t>Per accettazione</w:t>
      </w:r>
    </w:p>
    <w:p w14:paraId="0D666B4C" w14:textId="2D2EF676" w:rsidR="000810A3" w:rsidRDefault="000810A3"/>
    <w:p w14:paraId="47A13C7B" w14:textId="77900262" w:rsidR="00272033" w:rsidRDefault="00272033"/>
    <w:p w14:paraId="6AB86CCC" w14:textId="4032D069" w:rsidR="00272033" w:rsidRDefault="00272033"/>
    <w:p w14:paraId="7872211C" w14:textId="4D6D2EA0" w:rsidR="00272033" w:rsidRDefault="00272033"/>
    <w:p w14:paraId="70A288EA" w14:textId="266B5C37" w:rsidR="00272033" w:rsidRDefault="00272033"/>
    <w:p w14:paraId="7FBD7056" w14:textId="218B8296" w:rsidR="00272033" w:rsidRDefault="00272033"/>
    <w:p w14:paraId="001D8B57" w14:textId="087729BA" w:rsidR="00272033" w:rsidRDefault="00272033"/>
    <w:p w14:paraId="5E8882FC" w14:textId="3615F187" w:rsidR="00272033" w:rsidRDefault="00272033"/>
    <w:p w14:paraId="02DF997E" w14:textId="57103B42" w:rsidR="00272033" w:rsidRDefault="00272033"/>
    <w:p w14:paraId="24BE2D92" w14:textId="2EE6F54F" w:rsidR="00272033" w:rsidRDefault="00272033"/>
    <w:p w14:paraId="6D5DA52C" w14:textId="3C968225" w:rsidR="00272033" w:rsidRDefault="00272033"/>
    <w:p w14:paraId="750B9457" w14:textId="5846B1B5" w:rsidR="00272033" w:rsidRDefault="00272033"/>
    <w:p w14:paraId="2B1C605F" w14:textId="7AA9DA66" w:rsidR="00272033" w:rsidRDefault="00272033"/>
    <w:p w14:paraId="612C7C9B" w14:textId="02B52266" w:rsidR="00272033" w:rsidRDefault="00272033"/>
    <w:p w14:paraId="79F55F98" w14:textId="77777777" w:rsidR="00272033" w:rsidRDefault="00272033"/>
    <w:p w14:paraId="268219CD" w14:textId="68248A16" w:rsidR="00272033" w:rsidRDefault="00272033"/>
    <w:p w14:paraId="5CD26C2C" w14:textId="0F8CA955" w:rsidR="00272033" w:rsidRDefault="00272033"/>
    <w:p w14:paraId="2248D116" w14:textId="5E89FD1A" w:rsidR="00272033" w:rsidRDefault="00272033"/>
    <w:p w14:paraId="6EBFAC8D" w14:textId="4A4BA2D2" w:rsidR="00272033" w:rsidRDefault="00272033"/>
    <w:p w14:paraId="15386F39" w14:textId="77777777" w:rsidR="00272033" w:rsidRPr="001665DD" w:rsidRDefault="00272033" w:rsidP="00272033">
      <w:pPr>
        <w:rPr>
          <w:rFonts w:ascii="Arial" w:hAnsi="Arial" w:cs="Arial"/>
          <w:i/>
          <w:iCs/>
        </w:rPr>
      </w:pPr>
      <w:r w:rsidRPr="001665DD">
        <w:rPr>
          <w:rFonts w:ascii="Arial" w:hAnsi="Arial" w:cs="Arial"/>
          <w:i/>
          <w:iCs/>
        </w:rPr>
        <w:t xml:space="preserve">Nota bene: </w:t>
      </w:r>
    </w:p>
    <w:p w14:paraId="310F9275" w14:textId="77777777" w:rsidR="00272033" w:rsidRPr="00635F75" w:rsidRDefault="00272033" w:rsidP="00272033">
      <w:pPr>
        <w:pStyle w:val="Paragrafoelenco"/>
        <w:numPr>
          <w:ilvl w:val="0"/>
          <w:numId w:val="3"/>
        </w:numPr>
        <w:ind w:left="284" w:hanging="284"/>
        <w:rPr>
          <w:rFonts w:ascii="Arial" w:hAnsi="Arial" w:cs="Arial"/>
          <w:i/>
          <w:iCs/>
          <w:sz w:val="20"/>
          <w:szCs w:val="20"/>
        </w:rPr>
      </w:pPr>
      <w:r w:rsidRPr="00635F75">
        <w:rPr>
          <w:rFonts w:ascii="Arial" w:hAnsi="Arial" w:cs="Arial"/>
          <w:i/>
          <w:iCs/>
          <w:sz w:val="20"/>
          <w:szCs w:val="20"/>
        </w:rPr>
        <w:t>in caso di necessità di firma congiunta, entrambi i soggetti titolari dei poteri di rappresentanza dovranno</w:t>
      </w:r>
      <w:r>
        <w:rPr>
          <w:rFonts w:ascii="Arial" w:hAnsi="Arial" w:cs="Arial"/>
          <w:i/>
          <w:iCs/>
          <w:sz w:val="20"/>
          <w:szCs w:val="20"/>
        </w:rPr>
        <w:t xml:space="preserve"> ciascuno</w:t>
      </w:r>
      <w:r w:rsidRPr="00635F75">
        <w:rPr>
          <w:rFonts w:ascii="Arial" w:hAnsi="Arial" w:cs="Arial"/>
          <w:i/>
          <w:iCs/>
          <w:sz w:val="20"/>
          <w:szCs w:val="20"/>
        </w:rPr>
        <w:t xml:space="preserve"> compilare e firmare il</w:t>
      </w:r>
      <w:r>
        <w:rPr>
          <w:rFonts w:ascii="Arial" w:hAnsi="Arial" w:cs="Arial"/>
          <w:i/>
          <w:iCs/>
          <w:sz w:val="20"/>
          <w:szCs w:val="20"/>
        </w:rPr>
        <w:t xml:space="preserve"> proprio</w:t>
      </w:r>
      <w:r w:rsidRPr="00635F75">
        <w:rPr>
          <w:rFonts w:ascii="Arial" w:hAnsi="Arial" w:cs="Arial"/>
          <w:i/>
          <w:iCs/>
          <w:sz w:val="20"/>
          <w:szCs w:val="20"/>
        </w:rPr>
        <w:t xml:space="preserve"> modulo;</w:t>
      </w:r>
    </w:p>
    <w:p w14:paraId="3D72678C" w14:textId="77777777" w:rsidR="00272033" w:rsidRPr="00635F75" w:rsidRDefault="00272033" w:rsidP="00272033">
      <w:pPr>
        <w:pStyle w:val="Paragrafoelenco"/>
        <w:numPr>
          <w:ilvl w:val="0"/>
          <w:numId w:val="3"/>
        </w:numPr>
        <w:ind w:left="284" w:hanging="284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la firma ammessa è la</w:t>
      </w:r>
      <w:r w:rsidRPr="001665DD">
        <w:rPr>
          <w:rFonts w:ascii="Arial" w:hAnsi="Arial" w:cs="Arial"/>
          <w:i/>
          <w:iCs/>
          <w:sz w:val="20"/>
          <w:szCs w:val="20"/>
        </w:rPr>
        <w:t xml:space="preserve"> </w:t>
      </w:r>
      <w:r w:rsidRPr="00C9588B">
        <w:rPr>
          <w:rFonts w:ascii="Arial" w:hAnsi="Arial" w:cs="Arial"/>
          <w:b/>
          <w:bCs/>
          <w:i/>
          <w:iCs/>
          <w:sz w:val="20"/>
          <w:szCs w:val="20"/>
        </w:rPr>
        <w:t xml:space="preserve">firma digitale in formato </w:t>
      </w:r>
      <w:proofErr w:type="spellStart"/>
      <w:r w:rsidRPr="00C9588B">
        <w:rPr>
          <w:rFonts w:ascii="Arial" w:hAnsi="Arial" w:cs="Arial"/>
          <w:b/>
          <w:bCs/>
          <w:i/>
          <w:iCs/>
          <w:sz w:val="20"/>
          <w:szCs w:val="20"/>
        </w:rPr>
        <w:t>CAdES</w:t>
      </w:r>
      <w:proofErr w:type="spellEnd"/>
      <w:r w:rsidRPr="00C9588B">
        <w:rPr>
          <w:rFonts w:ascii="Arial" w:hAnsi="Arial" w:cs="Arial"/>
          <w:b/>
          <w:bCs/>
          <w:i/>
          <w:iCs/>
          <w:sz w:val="20"/>
          <w:szCs w:val="20"/>
        </w:rPr>
        <w:t xml:space="preserve"> o </w:t>
      </w:r>
      <w:proofErr w:type="spellStart"/>
      <w:r w:rsidRPr="00C9588B">
        <w:rPr>
          <w:rFonts w:ascii="Arial" w:hAnsi="Arial" w:cs="Arial"/>
          <w:b/>
          <w:bCs/>
          <w:i/>
          <w:iCs/>
          <w:sz w:val="20"/>
          <w:szCs w:val="20"/>
        </w:rPr>
        <w:t>PAdES</w:t>
      </w:r>
      <w:proofErr w:type="spellEnd"/>
      <w:r w:rsidRPr="00C9588B">
        <w:rPr>
          <w:rFonts w:ascii="Arial" w:hAnsi="Arial" w:cs="Arial"/>
          <w:b/>
          <w:bCs/>
          <w:i/>
          <w:iCs/>
          <w:sz w:val="20"/>
          <w:szCs w:val="20"/>
        </w:rPr>
        <w:t xml:space="preserve"> + marca temporale.</w:t>
      </w:r>
      <w:r>
        <w:rPr>
          <w:rFonts w:ascii="Arial" w:hAnsi="Arial" w:cs="Arial"/>
          <w:i/>
          <w:iCs/>
          <w:sz w:val="20"/>
          <w:szCs w:val="20"/>
        </w:rPr>
        <w:t xml:space="preserve"> In alternativa è ammessa la firma olografa.</w:t>
      </w:r>
    </w:p>
    <w:p w14:paraId="68FB45EA" w14:textId="77777777" w:rsidR="00272033" w:rsidRDefault="00272033" w:rsidP="00272033">
      <w:pPr>
        <w:rPr>
          <w:rFonts w:ascii="Arial" w:hAnsi="Arial" w:cs="Arial"/>
          <w:sz w:val="22"/>
        </w:rPr>
      </w:pPr>
    </w:p>
    <w:p w14:paraId="0AB61CF8" w14:textId="77777777" w:rsidR="00272033" w:rsidRPr="00D22542" w:rsidRDefault="00272033" w:rsidP="00272033">
      <w:proofErr w:type="spellStart"/>
      <w:r>
        <w:rPr>
          <w:rFonts w:ascii="Arial" w:hAnsi="Arial" w:cs="Arial"/>
          <w:sz w:val="22"/>
        </w:rPr>
        <w:t>All</w:t>
      </w:r>
      <w:proofErr w:type="spellEnd"/>
      <w:r>
        <w:rPr>
          <w:rFonts w:ascii="Arial" w:hAnsi="Arial" w:cs="Arial"/>
          <w:sz w:val="22"/>
        </w:rPr>
        <w:t>.: fotocopia del documento di identità del firmatario</w:t>
      </w:r>
      <w:r>
        <w:rPr>
          <w:rStyle w:val="Rimandonotaapidipagina"/>
          <w:rFonts w:ascii="Arial" w:hAnsi="Arial" w:cs="Arial"/>
          <w:sz w:val="22"/>
        </w:rPr>
        <w:footnoteReference w:id="1"/>
      </w:r>
      <w:r>
        <w:t xml:space="preserve">; </w:t>
      </w:r>
      <w:r w:rsidRPr="00D22542">
        <w:rPr>
          <w:rFonts w:ascii="Arial" w:hAnsi="Arial" w:cs="Arial"/>
          <w:sz w:val="22"/>
        </w:rPr>
        <w:t>copia visura camerale o estratto notarile verbale C</w:t>
      </w:r>
      <w:r>
        <w:rPr>
          <w:rFonts w:ascii="Arial" w:hAnsi="Arial" w:cs="Arial"/>
          <w:sz w:val="22"/>
        </w:rPr>
        <w:t>.</w:t>
      </w:r>
      <w:r w:rsidRPr="00D22542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.</w:t>
      </w:r>
      <w:r w:rsidRPr="00D22542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.</w:t>
      </w:r>
      <w:r w:rsidRPr="00D22542">
        <w:rPr>
          <w:rFonts w:ascii="Arial" w:hAnsi="Arial" w:cs="Arial"/>
          <w:sz w:val="22"/>
        </w:rPr>
        <w:t xml:space="preserve"> o copia procura notarile</w:t>
      </w:r>
      <w:r w:rsidRPr="00D22542">
        <w:rPr>
          <w:rFonts w:ascii="Arial" w:hAnsi="Arial" w:cs="Arial"/>
          <w:sz w:val="22"/>
          <w:vertAlign w:val="superscript"/>
        </w:rPr>
        <w:t xml:space="preserve"> </w:t>
      </w:r>
    </w:p>
    <w:p w14:paraId="52B22708" w14:textId="77777777" w:rsidR="00272033" w:rsidRDefault="00272033"/>
    <w:sectPr w:rsidR="00272033" w:rsidSect="008624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17"/>
      <w:pgMar w:top="2041" w:right="680" w:bottom="2268" w:left="680" w:header="680" w:footer="68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EB58D" w14:textId="77777777" w:rsidR="00C210F6" w:rsidRDefault="00C210F6" w:rsidP="0086248D">
      <w:r>
        <w:separator/>
      </w:r>
    </w:p>
  </w:endnote>
  <w:endnote w:type="continuationSeparator" w:id="0">
    <w:p w14:paraId="32EB0A27" w14:textId="77777777" w:rsidR="00C210F6" w:rsidRDefault="00C210F6" w:rsidP="0086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Century Gothic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3A6" w14:textId="77777777" w:rsidR="0040040A" w:rsidRDefault="004004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20773" w14:textId="77777777" w:rsidR="0040040A" w:rsidRDefault="0040040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1012" w14:textId="77777777" w:rsidR="0040040A" w:rsidRDefault="004004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ECA5" w14:textId="77777777" w:rsidR="00C210F6" w:rsidRDefault="00C210F6" w:rsidP="0086248D">
      <w:r>
        <w:separator/>
      </w:r>
    </w:p>
  </w:footnote>
  <w:footnote w:type="continuationSeparator" w:id="0">
    <w:p w14:paraId="1EFF2343" w14:textId="77777777" w:rsidR="00C210F6" w:rsidRDefault="00C210F6" w:rsidP="0086248D">
      <w:r>
        <w:continuationSeparator/>
      </w:r>
    </w:p>
  </w:footnote>
  <w:footnote w:id="1">
    <w:p w14:paraId="07820C58" w14:textId="77777777" w:rsidR="00272033" w:rsidRDefault="00272033" w:rsidP="00272033">
      <w:pPr>
        <w:pStyle w:val="Testonotaapidipagina"/>
      </w:pPr>
      <w:r>
        <w:rPr>
          <w:rStyle w:val="Caratteredellanota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 xml:space="preserve"> Ai sensi dell’art. 35 del D.P.R. n. 445/2000, la carta di identità può essere sostituita da un documento di riconoscimento equipollente (sono considerati equipollenti alla carta di identità, ad esempio: il passaporto, la patente di guida ecc.).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1903" w14:textId="77777777" w:rsidR="0040040A" w:rsidRDefault="004004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1A165" w14:textId="77777777" w:rsidR="0040040A" w:rsidRDefault="0040040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1637" w14:textId="36AF6108" w:rsidR="0086248D" w:rsidRPr="0086248D" w:rsidRDefault="0086248D">
    <w:pPr>
      <w:pStyle w:val="Intestazione"/>
      <w:rPr>
        <w:sz w:val="24"/>
        <w:szCs w:val="24"/>
      </w:rPr>
    </w:pPr>
    <w:r w:rsidRPr="0086248D">
      <w:rPr>
        <w:sz w:val="24"/>
        <w:szCs w:val="24"/>
        <w:highlight w:val="yellow"/>
      </w:rPr>
      <w:t>Da riportare su carta intesta d</w:t>
    </w:r>
    <w:r w:rsidR="001613C5">
      <w:rPr>
        <w:sz w:val="24"/>
        <w:szCs w:val="24"/>
        <w:highlight w:val="yellow"/>
      </w:rPr>
      <w:t xml:space="preserve">ello </w:t>
    </w:r>
    <w:proofErr w:type="spellStart"/>
    <w:proofErr w:type="gramStart"/>
    <w:r w:rsidR="001613C5">
      <w:rPr>
        <w:sz w:val="24"/>
        <w:szCs w:val="24"/>
        <w:highlight w:val="yellow"/>
      </w:rPr>
      <w:t>Shipper</w:t>
    </w:r>
    <w:proofErr w:type="spellEnd"/>
    <w:r w:rsidR="001613C5">
      <w:rPr>
        <w:sz w:val="24"/>
        <w:szCs w:val="24"/>
        <w:highlight w:val="yellow"/>
      </w:rPr>
      <w:t xml:space="preserve"> </w:t>
    </w:r>
    <w:r w:rsidRPr="0086248D">
      <w:rPr>
        <w:sz w:val="24"/>
        <w:szCs w:val="24"/>
        <w:highlight w:val="yellow"/>
      </w:rPr>
      <w:t>.</w:t>
    </w:r>
    <w:proofErr w:type="gramEnd"/>
    <w:r w:rsidRPr="0086248D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6AB1"/>
    <w:multiLevelType w:val="hybridMultilevel"/>
    <w:tmpl w:val="AD6EDC90"/>
    <w:lvl w:ilvl="0" w:tplc="8E2E13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A46B7"/>
    <w:multiLevelType w:val="hybridMultilevel"/>
    <w:tmpl w:val="C46C1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77F7E"/>
    <w:multiLevelType w:val="hybridMultilevel"/>
    <w:tmpl w:val="104C78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922694">
    <w:abstractNumId w:val="0"/>
  </w:num>
  <w:num w:numId="2" w16cid:durableId="1616405627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568300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8D"/>
    <w:rsid w:val="000810A3"/>
    <w:rsid w:val="000A6224"/>
    <w:rsid w:val="001613C5"/>
    <w:rsid w:val="001D048F"/>
    <w:rsid w:val="001F4674"/>
    <w:rsid w:val="00272033"/>
    <w:rsid w:val="0040040A"/>
    <w:rsid w:val="005845DF"/>
    <w:rsid w:val="0086248D"/>
    <w:rsid w:val="00C210F6"/>
    <w:rsid w:val="00C574B2"/>
    <w:rsid w:val="00CA436B"/>
    <w:rsid w:val="00CD7C0A"/>
    <w:rsid w:val="00D502A7"/>
    <w:rsid w:val="00E830E4"/>
    <w:rsid w:val="00FC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440A7"/>
  <w15:chartTrackingRefBased/>
  <w15:docId w15:val="{B289378C-0A89-4E81-87F0-105E54D7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6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6248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624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48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24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48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248D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CA436B"/>
    <w:pPr>
      <w:autoSpaceDE w:val="0"/>
      <w:autoSpaceDN w:val="0"/>
    </w:pPr>
    <w:rPr>
      <w:rFonts w:ascii="Futura Lt BT" w:eastAsiaTheme="minorHAnsi" w:hAnsi="Futura Lt BT" w:cs="Calibri"/>
      <w:color w:val="000000"/>
      <w:sz w:val="24"/>
      <w:szCs w:val="24"/>
    </w:rPr>
  </w:style>
  <w:style w:type="character" w:customStyle="1" w:styleId="Caratteredellanota">
    <w:name w:val="Carattere della nota"/>
    <w:basedOn w:val="Carpredefinitoparagrafo"/>
    <w:rsid w:val="00272033"/>
    <w:rPr>
      <w:vertAlign w:val="superscript"/>
    </w:rPr>
  </w:style>
  <w:style w:type="character" w:styleId="Rimandonotaapidipagina">
    <w:name w:val="footnote reference"/>
    <w:rsid w:val="00272033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272033"/>
    <w:pPr>
      <w:suppressAutoHyphens/>
      <w:jc w:val="both"/>
    </w:pPr>
    <w:rPr>
      <w:kern w:val="1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720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272033"/>
    <w:pPr>
      <w:suppressAutoHyphens/>
      <w:ind w:left="720"/>
      <w:contextualSpacing/>
      <w:jc w:val="both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sonstocaggio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occaggio@edison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arera.it/allegati/docs/19/067-19ras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era.it/allegati/docs/23/093-23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Napoletano Francesca</dc:creator>
  <cp:keywords/>
  <dc:description/>
  <cp:lastModifiedBy>Caffi Alessandro</cp:lastModifiedBy>
  <cp:revision>6</cp:revision>
  <dcterms:created xsi:type="dcterms:W3CDTF">2023-03-13T10:12:00Z</dcterms:created>
  <dcterms:modified xsi:type="dcterms:W3CDTF">2023-03-13T10:40:00Z</dcterms:modified>
</cp:coreProperties>
</file>