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116" w:rsidRDefault="00A16116" w:rsidP="00A16116">
      <w:pPr>
        <w:pStyle w:val="ChapterTitle"/>
      </w:pPr>
      <w:r>
        <w:t>Capitolo 8</w:t>
      </w:r>
    </w:p>
    <w:p w:rsidR="00A16116" w:rsidRDefault="00A16116" w:rsidP="00A16116">
      <w:pPr>
        <w:pStyle w:val="ChapterTitle"/>
      </w:pPr>
      <w:r>
        <w:t>BILANCIAMENTO E REINTEGRAZIONE DEGLI STOCCAGGI</w:t>
      </w:r>
    </w:p>
    <w:bookmarkStart w:id="0" w:name="_Toc110741147"/>
    <w:p w:rsidR="00A16116" w:rsidRDefault="00A16116" w:rsidP="00A16116">
      <w:pPr>
        <w:pStyle w:val="Sommario2"/>
        <w:rPr>
          <w:rFonts w:asciiTheme="minorHAnsi" w:eastAsiaTheme="minorEastAsia" w:hAnsiTheme="minorHAnsi" w:cstheme="minorBidi"/>
          <w:b w:val="0"/>
          <w:smallCaps w:val="0"/>
          <w:sz w:val="22"/>
          <w:szCs w:val="22"/>
        </w:rPr>
      </w:pPr>
      <w:r w:rsidRPr="00645334">
        <w:fldChar w:fldCharType="begin"/>
      </w:r>
      <w:r w:rsidRPr="00645334">
        <w:instrText xml:space="preserve"> TOC \o "1-3" \h \z \u </w:instrText>
      </w:r>
      <w:r w:rsidRPr="00645334">
        <w:fldChar w:fldCharType="separate"/>
      </w:r>
      <w:hyperlink w:anchor="_Toc363031693" w:history="1">
        <w:r w:rsidRPr="000939A3">
          <w:rPr>
            <w:rStyle w:val="Collegamentoipertestuale"/>
          </w:rPr>
          <w:t>8.1 PREMESSA</w:t>
        </w:r>
        <w:r>
          <w:rPr>
            <w:webHidden/>
          </w:rPr>
          <w:tab/>
        </w:r>
        <w:r>
          <w:rPr>
            <w:webHidden/>
          </w:rPr>
          <w:fldChar w:fldCharType="begin"/>
        </w:r>
        <w:r>
          <w:rPr>
            <w:webHidden/>
          </w:rPr>
          <w:instrText xml:space="preserve"> PAGEREF _Toc363031693 \h </w:instrText>
        </w:r>
        <w:r>
          <w:rPr>
            <w:webHidden/>
          </w:rPr>
        </w:r>
        <w:r>
          <w:rPr>
            <w:webHidden/>
          </w:rPr>
          <w:fldChar w:fldCharType="separate"/>
        </w:r>
        <w:r>
          <w:rPr>
            <w:webHidden/>
          </w:rPr>
          <w:t>141</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694" w:history="1">
        <w:r w:rsidRPr="000939A3">
          <w:rPr>
            <w:rStyle w:val="Collegamentoipertestuale"/>
          </w:rPr>
          <w:t>8.2 ALLOCAZIONI</w:t>
        </w:r>
        <w:r>
          <w:rPr>
            <w:webHidden/>
          </w:rPr>
          <w:tab/>
        </w:r>
        <w:r>
          <w:rPr>
            <w:webHidden/>
          </w:rPr>
          <w:fldChar w:fldCharType="begin"/>
        </w:r>
        <w:r>
          <w:rPr>
            <w:webHidden/>
          </w:rPr>
          <w:instrText xml:space="preserve"> PAGEREF _Toc363031694 \h </w:instrText>
        </w:r>
        <w:r>
          <w:rPr>
            <w:webHidden/>
          </w:rPr>
        </w:r>
        <w:r>
          <w:rPr>
            <w:webHidden/>
          </w:rPr>
          <w:fldChar w:fldCharType="separate"/>
        </w:r>
        <w:r>
          <w:rPr>
            <w:webHidden/>
          </w:rPr>
          <w:t>142</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695" w:history="1">
        <w:r w:rsidRPr="000939A3">
          <w:rPr>
            <w:rStyle w:val="Collegamentoipertestuale"/>
          </w:rPr>
          <w:t>8.2.1 Contabilità del gas movimentato da/verso il Sistema di Stoccaggio dall’Utente</w:t>
        </w:r>
        <w:r>
          <w:rPr>
            <w:webHidden/>
          </w:rPr>
          <w:tab/>
        </w:r>
        <w:r>
          <w:rPr>
            <w:webHidden/>
          </w:rPr>
          <w:fldChar w:fldCharType="begin"/>
        </w:r>
        <w:r>
          <w:rPr>
            <w:webHidden/>
          </w:rPr>
          <w:instrText xml:space="preserve"> PAGEREF _Toc363031695 \h </w:instrText>
        </w:r>
        <w:r>
          <w:rPr>
            <w:webHidden/>
          </w:rPr>
        </w:r>
        <w:r>
          <w:rPr>
            <w:webHidden/>
          </w:rPr>
          <w:fldChar w:fldCharType="separate"/>
        </w:r>
        <w:r>
          <w:rPr>
            <w:webHidden/>
          </w:rPr>
          <w:t>143</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696" w:history="1">
        <w:r w:rsidRPr="000939A3">
          <w:rPr>
            <w:rStyle w:val="Collegamentoipertestuale"/>
          </w:rPr>
          <w:t>8.3 PROCEDURA PER L’ATTRIBUZIONE DE</w:t>
        </w:r>
        <w:r w:rsidRPr="00C47CD5">
          <w:rPr>
            <w:rStyle w:val="Collegamentoipertestuale"/>
            <w:caps/>
            <w:smallCaps w:val="0"/>
          </w:rPr>
          <w:t>gli auto</w:t>
        </w:r>
        <w:r w:rsidRPr="000939A3">
          <w:rPr>
            <w:rStyle w:val="Collegamentoipertestuale"/>
          </w:rPr>
          <w:t>CONSUMI NELLA FASE DI INIEZIONE E DI EROGAZIONE</w:t>
        </w:r>
        <w:r>
          <w:rPr>
            <w:webHidden/>
          </w:rPr>
          <w:tab/>
        </w:r>
        <w:r>
          <w:rPr>
            <w:webHidden/>
          </w:rPr>
          <w:fldChar w:fldCharType="begin"/>
        </w:r>
        <w:r>
          <w:rPr>
            <w:webHidden/>
          </w:rPr>
          <w:instrText xml:space="preserve"> PAGEREF _Toc363031696 \h </w:instrText>
        </w:r>
        <w:r>
          <w:rPr>
            <w:webHidden/>
          </w:rPr>
        </w:r>
        <w:r>
          <w:rPr>
            <w:webHidden/>
          </w:rPr>
          <w:fldChar w:fldCharType="separate"/>
        </w:r>
        <w:r>
          <w:rPr>
            <w:webHidden/>
          </w:rPr>
          <w:t>148</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697" w:history="1">
        <w:r w:rsidRPr="000939A3">
          <w:rPr>
            <w:rStyle w:val="Collegamentoipertestuale"/>
          </w:rPr>
          <w:t>8.3.1 Premessa</w:t>
        </w:r>
        <w:r>
          <w:rPr>
            <w:webHidden/>
          </w:rPr>
          <w:tab/>
        </w:r>
        <w:r>
          <w:rPr>
            <w:webHidden/>
          </w:rPr>
          <w:fldChar w:fldCharType="begin"/>
        </w:r>
        <w:r>
          <w:rPr>
            <w:webHidden/>
          </w:rPr>
          <w:instrText xml:space="preserve"> PAGEREF _Toc363031697 \h </w:instrText>
        </w:r>
        <w:r>
          <w:rPr>
            <w:webHidden/>
          </w:rPr>
        </w:r>
        <w:r>
          <w:rPr>
            <w:webHidden/>
          </w:rPr>
          <w:fldChar w:fldCharType="separate"/>
        </w:r>
        <w:r>
          <w:rPr>
            <w:webHidden/>
          </w:rPr>
          <w:t>148</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698" w:history="1">
        <w:r w:rsidRPr="000939A3">
          <w:rPr>
            <w:rStyle w:val="Collegamentoipertestuale"/>
          </w:rPr>
          <w:t>8.3.2 Ripartizione degli autoconsumi</w:t>
        </w:r>
        <w:r>
          <w:rPr>
            <w:webHidden/>
          </w:rPr>
          <w:tab/>
        </w:r>
        <w:r>
          <w:rPr>
            <w:webHidden/>
          </w:rPr>
          <w:fldChar w:fldCharType="begin"/>
        </w:r>
        <w:r>
          <w:rPr>
            <w:webHidden/>
          </w:rPr>
          <w:instrText xml:space="preserve"> PAGEREF _Toc363031698 \h </w:instrText>
        </w:r>
        <w:r>
          <w:rPr>
            <w:webHidden/>
          </w:rPr>
        </w:r>
        <w:r>
          <w:rPr>
            <w:webHidden/>
          </w:rPr>
          <w:fldChar w:fldCharType="separate"/>
        </w:r>
        <w:r>
          <w:rPr>
            <w:webHidden/>
          </w:rPr>
          <w:t>149</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699" w:history="1">
        <w:r w:rsidRPr="000939A3">
          <w:rPr>
            <w:rStyle w:val="Collegamentoipertestuale"/>
          </w:rPr>
          <w:t>8.3.3 Allocazioni giornaliere</w:t>
        </w:r>
        <w:r>
          <w:rPr>
            <w:webHidden/>
          </w:rPr>
          <w:tab/>
        </w:r>
        <w:r>
          <w:rPr>
            <w:webHidden/>
          </w:rPr>
          <w:fldChar w:fldCharType="begin"/>
        </w:r>
        <w:r>
          <w:rPr>
            <w:webHidden/>
          </w:rPr>
          <w:instrText xml:space="preserve"> PAGEREF _Toc363031699 \h </w:instrText>
        </w:r>
        <w:r>
          <w:rPr>
            <w:webHidden/>
          </w:rPr>
        </w:r>
        <w:r>
          <w:rPr>
            <w:webHidden/>
          </w:rPr>
          <w:fldChar w:fldCharType="separate"/>
        </w:r>
        <w:r>
          <w:rPr>
            <w:webHidden/>
          </w:rPr>
          <w:t>150</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0" w:history="1">
        <w:r w:rsidRPr="000939A3">
          <w:rPr>
            <w:rStyle w:val="Collegamentoipertestuale"/>
          </w:rPr>
          <w:t>8.4 CORRISPETTIVI PER IL BILANCIAMENTO</w:t>
        </w:r>
        <w:r>
          <w:rPr>
            <w:webHidden/>
          </w:rPr>
          <w:tab/>
        </w:r>
        <w:r>
          <w:rPr>
            <w:webHidden/>
          </w:rPr>
          <w:fldChar w:fldCharType="begin"/>
        </w:r>
        <w:r>
          <w:rPr>
            <w:webHidden/>
          </w:rPr>
          <w:instrText xml:space="preserve"> PAGEREF _Toc363031700 \h </w:instrText>
        </w:r>
        <w:r>
          <w:rPr>
            <w:webHidden/>
          </w:rPr>
        </w:r>
        <w:r>
          <w:rPr>
            <w:webHidden/>
          </w:rPr>
          <w:fldChar w:fldCharType="separate"/>
        </w:r>
        <w:r>
          <w:rPr>
            <w:webHidden/>
          </w:rPr>
          <w:t>150</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701" w:history="1">
        <w:r w:rsidRPr="000939A3">
          <w:rPr>
            <w:rStyle w:val="Collegamentoipertestuale"/>
          </w:rPr>
          <w:t>8.4.1 Giacenza minima in Iniezione</w:t>
        </w:r>
        <w:r>
          <w:rPr>
            <w:webHidden/>
          </w:rPr>
          <w:tab/>
        </w:r>
        <w:r>
          <w:rPr>
            <w:webHidden/>
          </w:rPr>
          <w:fldChar w:fldCharType="begin"/>
        </w:r>
        <w:r>
          <w:rPr>
            <w:webHidden/>
          </w:rPr>
          <w:instrText xml:space="preserve"> PAGEREF _Toc363031701 \h </w:instrText>
        </w:r>
        <w:r>
          <w:rPr>
            <w:webHidden/>
          </w:rPr>
        </w:r>
        <w:r>
          <w:rPr>
            <w:webHidden/>
          </w:rPr>
          <w:fldChar w:fldCharType="separate"/>
        </w:r>
        <w:r>
          <w:rPr>
            <w:webHidden/>
          </w:rPr>
          <w:t>151</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702" w:history="1">
        <w:r w:rsidRPr="000939A3">
          <w:rPr>
            <w:rStyle w:val="Collegamentoipertestuale"/>
          </w:rPr>
          <w:t xml:space="preserve">8.4.2 Giacenza </w:t>
        </w:r>
        <w:r w:rsidRPr="000939A3">
          <w:rPr>
            <w:rStyle w:val="Collegamentoipertestuale"/>
            <w:rFonts w:cs="Arial"/>
          </w:rPr>
          <w:t>massima in Iniezione</w:t>
        </w:r>
        <w:r>
          <w:rPr>
            <w:webHidden/>
          </w:rPr>
          <w:tab/>
        </w:r>
        <w:r>
          <w:rPr>
            <w:webHidden/>
          </w:rPr>
          <w:fldChar w:fldCharType="begin"/>
        </w:r>
        <w:r>
          <w:rPr>
            <w:webHidden/>
          </w:rPr>
          <w:instrText xml:space="preserve"> PAGEREF _Toc363031702 \h </w:instrText>
        </w:r>
        <w:r>
          <w:rPr>
            <w:webHidden/>
          </w:rPr>
        </w:r>
        <w:r>
          <w:rPr>
            <w:webHidden/>
          </w:rPr>
          <w:fldChar w:fldCharType="separate"/>
        </w:r>
        <w:r>
          <w:rPr>
            <w:webHidden/>
          </w:rPr>
          <w:t>151</w:t>
        </w:r>
        <w:r>
          <w:rPr>
            <w:webHidden/>
          </w:rPr>
          <w:fldChar w:fldCharType="end"/>
        </w:r>
      </w:hyperlink>
    </w:p>
    <w:p w:rsidR="00A16116" w:rsidRDefault="00A16116" w:rsidP="00A16116">
      <w:pPr>
        <w:pStyle w:val="Sommario3"/>
        <w:rPr>
          <w:rFonts w:asciiTheme="minorHAnsi" w:eastAsiaTheme="minorEastAsia" w:hAnsiTheme="minorHAnsi" w:cstheme="minorBidi"/>
          <w:b w:val="0"/>
          <w:i w:val="0"/>
          <w:szCs w:val="22"/>
        </w:rPr>
      </w:pPr>
      <w:hyperlink w:anchor="_Toc363031703" w:history="1">
        <w:r w:rsidRPr="000939A3">
          <w:rPr>
            <w:rStyle w:val="Collegamentoipertestuale"/>
          </w:rPr>
          <w:t>8.4.3 Uso di Gas per finalità di Stoccaggio Strategico con autorizzazione da parte del MSE</w:t>
        </w:r>
        <w:r>
          <w:rPr>
            <w:webHidden/>
          </w:rPr>
          <w:tab/>
        </w:r>
        <w:r>
          <w:rPr>
            <w:webHidden/>
          </w:rPr>
          <w:fldChar w:fldCharType="begin"/>
        </w:r>
        <w:r>
          <w:rPr>
            <w:webHidden/>
          </w:rPr>
          <w:instrText xml:space="preserve"> PAGEREF _Toc363031703 \h </w:instrText>
        </w:r>
        <w:r>
          <w:rPr>
            <w:webHidden/>
          </w:rPr>
        </w:r>
        <w:r>
          <w:rPr>
            <w:webHidden/>
          </w:rPr>
          <w:fldChar w:fldCharType="separate"/>
        </w:r>
        <w:r>
          <w:rPr>
            <w:webHidden/>
          </w:rPr>
          <w:t>152</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4" w:history="1">
        <w:r w:rsidRPr="000939A3">
          <w:rPr>
            <w:rStyle w:val="Collegamentoipertestuale"/>
          </w:rPr>
          <w:t>8.5 RITIRO INFERIORE ALL’INVASO</w:t>
        </w:r>
        <w:r>
          <w:rPr>
            <w:webHidden/>
          </w:rPr>
          <w:tab/>
        </w:r>
        <w:r>
          <w:rPr>
            <w:webHidden/>
          </w:rPr>
          <w:fldChar w:fldCharType="begin"/>
        </w:r>
        <w:r>
          <w:rPr>
            <w:webHidden/>
          </w:rPr>
          <w:instrText xml:space="preserve"> PAGEREF _Toc363031704 \h </w:instrText>
        </w:r>
        <w:r>
          <w:rPr>
            <w:webHidden/>
          </w:rPr>
        </w:r>
        <w:r>
          <w:rPr>
            <w:webHidden/>
          </w:rPr>
          <w:fldChar w:fldCharType="separate"/>
        </w:r>
        <w:r>
          <w:rPr>
            <w:webHidden/>
          </w:rPr>
          <w:t>154</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5" w:history="1">
        <w:r w:rsidRPr="000939A3">
          <w:rPr>
            <w:rStyle w:val="Collegamentoipertestuale"/>
          </w:rPr>
          <w:t>8.6 PROCEDURA PER LA RIPARTIZIONE DEI QUANTITATIVI DI GAS OGGETTO DELLE OFFERTE ACCETTATE SUL MERCATO DEL BILANCIAMENTO</w:t>
        </w:r>
        <w:r>
          <w:rPr>
            <w:webHidden/>
          </w:rPr>
          <w:tab/>
        </w:r>
        <w:r>
          <w:rPr>
            <w:webHidden/>
          </w:rPr>
          <w:fldChar w:fldCharType="begin"/>
        </w:r>
        <w:r>
          <w:rPr>
            <w:webHidden/>
          </w:rPr>
          <w:instrText xml:space="preserve"> PAGEREF _Toc363031705 \h </w:instrText>
        </w:r>
        <w:r>
          <w:rPr>
            <w:webHidden/>
          </w:rPr>
        </w:r>
        <w:r>
          <w:rPr>
            <w:webHidden/>
          </w:rPr>
          <w:fldChar w:fldCharType="separate"/>
        </w:r>
        <w:r>
          <w:rPr>
            <w:webHidden/>
          </w:rPr>
          <w:t>154</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6" w:history="1">
        <w:r w:rsidRPr="000939A3">
          <w:rPr>
            <w:rStyle w:val="Collegamentoipertestuale"/>
          </w:rPr>
          <w:t>8.7 CONGUAGLI DI MISURA E DI ALLOCAZIONE</w:t>
        </w:r>
        <w:r>
          <w:rPr>
            <w:webHidden/>
          </w:rPr>
          <w:tab/>
        </w:r>
        <w:r>
          <w:rPr>
            <w:webHidden/>
          </w:rPr>
          <w:fldChar w:fldCharType="begin"/>
        </w:r>
        <w:r>
          <w:rPr>
            <w:webHidden/>
          </w:rPr>
          <w:instrText xml:space="preserve"> PAGEREF _Toc363031706 \h </w:instrText>
        </w:r>
        <w:r>
          <w:rPr>
            <w:webHidden/>
          </w:rPr>
        </w:r>
        <w:r>
          <w:rPr>
            <w:webHidden/>
          </w:rPr>
          <w:fldChar w:fldCharType="separate"/>
        </w:r>
        <w:r>
          <w:rPr>
            <w:webHidden/>
          </w:rPr>
          <w:t>156</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7" w:history="1">
        <w:r w:rsidRPr="000939A3">
          <w:rPr>
            <w:rStyle w:val="Collegamentoipertestuale"/>
          </w:rPr>
          <w:t>8.8 DETERMINAZIONE E PUBBLICAZIONE DEI LIMITI MINIMI E MASSIMI PER LE OFFERTE SUL MERCATO DI BILANCIAMENTO</w:t>
        </w:r>
        <w:r>
          <w:rPr>
            <w:webHidden/>
          </w:rPr>
          <w:tab/>
        </w:r>
        <w:r>
          <w:rPr>
            <w:webHidden/>
          </w:rPr>
          <w:fldChar w:fldCharType="begin"/>
        </w:r>
        <w:r>
          <w:rPr>
            <w:webHidden/>
          </w:rPr>
          <w:instrText xml:space="preserve"> PAGEREF _Toc363031707 \h </w:instrText>
        </w:r>
        <w:r>
          <w:rPr>
            <w:webHidden/>
          </w:rPr>
        </w:r>
        <w:r>
          <w:rPr>
            <w:webHidden/>
          </w:rPr>
          <w:fldChar w:fldCharType="separate"/>
        </w:r>
        <w:r>
          <w:rPr>
            <w:webHidden/>
          </w:rPr>
          <w:t>156</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8" w:history="1">
        <w:r w:rsidRPr="000939A3">
          <w:rPr>
            <w:rStyle w:val="Collegamentoipertestuale"/>
          </w:rPr>
          <w:t>8.9 STIMA DEGLI ONERI A COPERTURA</w:t>
        </w:r>
        <w:r w:rsidRPr="000939A3">
          <w:rPr>
            <w:rStyle w:val="Collegamentoipertestuale"/>
            <w:rFonts w:cs="Arial"/>
          </w:rPr>
          <w:t xml:space="preserve"> DEI CONSUMI DI ENERGIA ELETTRICA NECESSARI AL FUNZIONAMENTO DEGLI IMPIANTI DI COMPRESSIONE E TRATTAMENTO</w:t>
        </w:r>
        <w:r>
          <w:rPr>
            <w:webHidden/>
          </w:rPr>
          <w:tab/>
        </w:r>
        <w:r>
          <w:rPr>
            <w:webHidden/>
          </w:rPr>
          <w:fldChar w:fldCharType="begin"/>
        </w:r>
        <w:r>
          <w:rPr>
            <w:webHidden/>
          </w:rPr>
          <w:instrText xml:space="preserve"> PAGEREF _Toc363031708 \h </w:instrText>
        </w:r>
        <w:r>
          <w:rPr>
            <w:webHidden/>
          </w:rPr>
        </w:r>
        <w:r>
          <w:rPr>
            <w:webHidden/>
          </w:rPr>
          <w:fldChar w:fldCharType="separate"/>
        </w:r>
        <w:r>
          <w:rPr>
            <w:webHidden/>
          </w:rPr>
          <w:t>158</w:t>
        </w:r>
        <w:r>
          <w:rPr>
            <w:webHidden/>
          </w:rPr>
          <w:fldChar w:fldCharType="end"/>
        </w:r>
      </w:hyperlink>
    </w:p>
    <w:p w:rsidR="00A16116" w:rsidRDefault="00A16116" w:rsidP="00A16116">
      <w:pPr>
        <w:pStyle w:val="Sommario2"/>
        <w:rPr>
          <w:rFonts w:asciiTheme="minorHAnsi" w:eastAsiaTheme="minorEastAsia" w:hAnsiTheme="minorHAnsi" w:cstheme="minorBidi"/>
          <w:b w:val="0"/>
          <w:smallCaps w:val="0"/>
          <w:sz w:val="22"/>
          <w:szCs w:val="22"/>
        </w:rPr>
      </w:pPr>
      <w:hyperlink w:anchor="_Toc363031709" w:history="1">
        <w:r w:rsidRPr="000939A3">
          <w:rPr>
            <w:rStyle w:val="Collegamentoipertestuale"/>
          </w:rPr>
          <w:t>8.10 CORRISPETTIVI PER I SERVIZI DI STOCCAGGIO</w:t>
        </w:r>
        <w:r>
          <w:rPr>
            <w:webHidden/>
          </w:rPr>
          <w:tab/>
        </w:r>
        <w:r>
          <w:rPr>
            <w:webHidden/>
          </w:rPr>
          <w:fldChar w:fldCharType="begin"/>
        </w:r>
        <w:r>
          <w:rPr>
            <w:webHidden/>
          </w:rPr>
          <w:instrText xml:space="preserve"> PAGEREF _Toc363031709 \h </w:instrText>
        </w:r>
        <w:r>
          <w:rPr>
            <w:webHidden/>
          </w:rPr>
        </w:r>
        <w:r>
          <w:rPr>
            <w:webHidden/>
          </w:rPr>
          <w:fldChar w:fldCharType="separate"/>
        </w:r>
        <w:r>
          <w:rPr>
            <w:webHidden/>
          </w:rPr>
          <w:t>159</w:t>
        </w:r>
        <w:r>
          <w:rPr>
            <w:webHidden/>
          </w:rPr>
          <w:fldChar w:fldCharType="end"/>
        </w:r>
      </w:hyperlink>
    </w:p>
    <w:p w:rsidR="00A16116" w:rsidRDefault="00A16116" w:rsidP="00A16116">
      <w:pPr>
        <w:pStyle w:val="Titolo1"/>
        <w:tabs>
          <w:tab w:val="right" w:leader="dot" w:pos="9360"/>
        </w:tabs>
        <w:ind w:right="585"/>
      </w:pPr>
      <w:r w:rsidRPr="00645334">
        <w:fldChar w:fldCharType="end"/>
      </w:r>
    </w:p>
    <w:p w:rsidR="00A16116" w:rsidRDefault="00A16116" w:rsidP="00A16116">
      <w:pPr>
        <w:pStyle w:val="Titolo2"/>
      </w:pPr>
      <w:r>
        <w:br w:type="page"/>
      </w:r>
      <w:bookmarkStart w:id="1" w:name="_Toc363031693"/>
      <w:bookmarkEnd w:id="0"/>
      <w:r>
        <w:lastRenderedPageBreak/>
        <w:t>PREMESSA</w:t>
      </w:r>
      <w:bookmarkEnd w:id="1"/>
    </w:p>
    <w:p w:rsidR="00A16116" w:rsidRDefault="00A16116" w:rsidP="00A16116">
      <w:pPr>
        <w:pStyle w:val="Corpotesto"/>
      </w:pPr>
      <w:r>
        <w:t xml:space="preserve">Il capitolo descrive le modalità con le quali l’Impresa di Stoccaggio determina le posizioni di ciascun Utente in Stoccaggio in linea </w:t>
      </w:r>
      <w:r w:rsidRPr="00043E69">
        <w:t>col</w:t>
      </w:r>
      <w:r>
        <w:t xml:space="preserve"> regime di bilanciamento previsto dalle delibere e dagli accordi con gli altri operatori.</w:t>
      </w:r>
    </w:p>
    <w:p w:rsidR="00A16116" w:rsidRPr="00F1572C" w:rsidRDefault="00A16116" w:rsidP="00A16116">
      <w:pPr>
        <w:pStyle w:val="Corpotesto"/>
      </w:pPr>
      <w:r w:rsidRPr="00DF562D">
        <w:t xml:space="preserve">In particolare, il regime di bilanciamento in vigore prevede che agli Utenti della </w:t>
      </w:r>
      <w:r w:rsidRPr="00043E69">
        <w:t xml:space="preserve">Rete di Trasporto sia allocata sui sistemi di stoccaggio la somma dei quantitativi di gas programmati (in immissione o in prelievo sul complesso degli </w:t>
      </w:r>
      <w:proofErr w:type="spellStart"/>
      <w:r w:rsidRPr="00043E69">
        <w:t>Hub</w:t>
      </w:r>
      <w:proofErr w:type="spellEnd"/>
      <w:r w:rsidRPr="00043E69">
        <w:t xml:space="preserve"> stoccaggi del sistema Italia) tenuto conto della quota di autoconsumi di pertinenza, e dei quantitativi di gas ceduti o acquistati nella sessione di bilanciamento prevista dalla Deliberazione ARG/Gas 45/11 e sue </w:t>
      </w:r>
      <w:proofErr w:type="spellStart"/>
      <w:r w:rsidRPr="00043E69">
        <w:t>s.m.i.</w:t>
      </w:r>
      <w:proofErr w:type="spellEnd"/>
      <w:r w:rsidRPr="00043E69">
        <w:t xml:space="preserve"> (definiti come SCS: la differenza, relativa ad un </w:t>
      </w:r>
      <w:r>
        <w:t>G</w:t>
      </w:r>
      <w:r w:rsidRPr="00043E69">
        <w:t xml:space="preserve">iorno </w:t>
      </w:r>
      <w:r>
        <w:t>G</w:t>
      </w:r>
      <w:r w:rsidRPr="00043E69">
        <w:t>as</w:t>
      </w:r>
      <w:r>
        <w:t xml:space="preserve"> G</w:t>
      </w:r>
      <w:r w:rsidRPr="00043E69">
        <w:t>, fra l’energia complessivamente programmata presso i punti di entrata e uscita interconnessi con gli stoccaggi sulla base delle prenotazioni di cui al comma 15.3 della deliberazione n. 137/02 e l’energia misurata presso i medesimi punti. L’</w:t>
      </w:r>
      <w:r>
        <w:t>I</w:t>
      </w:r>
      <w:r w:rsidRPr="00043E69">
        <w:t xml:space="preserve">mpresa di Stoccaggio alloca agli Utenti i quantitativi programmati in iniezione o erogazione dal singolo Utente sul proprio </w:t>
      </w:r>
      <w:proofErr w:type="spellStart"/>
      <w:r w:rsidRPr="00043E69">
        <w:t>Hub</w:t>
      </w:r>
      <w:proofErr w:type="spellEnd"/>
      <w:r w:rsidRPr="00043E69">
        <w:t>, tenuto conto della quota di autoconsumi di pertinenza, incrementati e/o diminuiti dei quantitativi di gas ceduti e/o acquistati nella sessione di bilanciamento dall’Utente stesso e di competenza dell’</w:t>
      </w:r>
      <w:proofErr w:type="spellStart"/>
      <w:r w:rsidRPr="00043E69">
        <w:t>Hub</w:t>
      </w:r>
      <w:proofErr w:type="spellEnd"/>
      <w:r w:rsidRPr="00043E69">
        <w:t xml:space="preserve"> dell’Impresa di Stoccaggio. Tali quantitativi sono determinati in base ad una procedura operativa concordata tra gli operatori coinvolti (imprese di stoccaggio, imprese di trasporto di RNG, GME).</w:t>
      </w:r>
    </w:p>
    <w:p w:rsidR="00A16116" w:rsidRPr="00F1572C" w:rsidRDefault="00A16116" w:rsidP="00A16116">
      <w:pPr>
        <w:pStyle w:val="Corpotesto"/>
      </w:pPr>
    </w:p>
    <w:p w:rsidR="00A16116" w:rsidRPr="00754B34" w:rsidRDefault="00A16116" w:rsidP="00A16116">
      <w:pPr>
        <w:pStyle w:val="Corpotesto"/>
        <w:ind w:right="585"/>
      </w:pPr>
      <w:r>
        <w:t>Edison Stoccaggio S.p.A</w:t>
      </w:r>
      <w:r w:rsidRPr="00754B34">
        <w:t xml:space="preserve">, pur essendosi predisposta per l’avvio del mercato del bilanciamento al 1° dicembre 2011, nelle more della conclusione degli accordi operativi con il Responsabile del Bilanciamento funzionale alla completa attuazione delle disposizioni della Deliberazione ARG/Gas 45/2011, ha acconsentito ad adottare un meccanismo semplificato per l’avvio del mercato nel periodo 1 dicembre 2011- 31 marzo </w:t>
      </w:r>
      <w:smartTag w:uri="urn:schemas-microsoft-com:office:smarttags" w:element="metricconverter">
        <w:smartTagPr>
          <w:attr w:name="ProductID" w:val="2012. A"/>
        </w:smartTagPr>
        <w:r w:rsidRPr="00754B34">
          <w:t>2012. A</w:t>
        </w:r>
      </w:smartTag>
      <w:r w:rsidRPr="00754B34">
        <w:t xml:space="preserve"> partire dal 1 aprile 2012</w:t>
      </w:r>
      <w:r>
        <w:t xml:space="preserve"> o non appena conclusi gli accordi con gli operatori coinvolti,</w:t>
      </w:r>
      <w:r w:rsidRPr="00754B34">
        <w:t xml:space="preserve"> si avrà piena applicazione del servizio di bilanciamento del gas naturale mediante l’impiego anche delle risorse disponibili presso l’</w:t>
      </w:r>
      <w:proofErr w:type="spellStart"/>
      <w:r w:rsidRPr="00754B34">
        <w:t>hub</w:t>
      </w:r>
      <w:proofErr w:type="spellEnd"/>
      <w:r w:rsidRPr="00754B34">
        <w:t xml:space="preserve"> </w:t>
      </w:r>
      <w:r>
        <w:t xml:space="preserve">Edison Stoccaggio </w:t>
      </w:r>
      <w:r w:rsidRPr="00754B34">
        <w:t xml:space="preserve">S.p.A.. </w:t>
      </w:r>
    </w:p>
    <w:p w:rsidR="00A16116" w:rsidRPr="00043E69" w:rsidRDefault="00A16116" w:rsidP="00A16116">
      <w:pPr>
        <w:pStyle w:val="Corpotesto"/>
        <w:ind w:left="0"/>
      </w:pPr>
    </w:p>
    <w:p w:rsidR="00A16116" w:rsidRDefault="00A16116" w:rsidP="00A16116">
      <w:pPr>
        <w:pStyle w:val="Corpotesto"/>
        <w:ind w:left="426"/>
      </w:pPr>
      <w:r w:rsidRPr="00F37F79">
        <w:t>Ai fini della corretta gestione del sistema, l’</w:t>
      </w:r>
      <w:r>
        <w:t>I</w:t>
      </w:r>
      <w:r w:rsidRPr="00F37F79">
        <w:t>mpresa di Stoccaggio è tenuta</w:t>
      </w:r>
      <w:r>
        <w:t xml:space="preserve"> all’esercizio tecnico del proprio sistema nel rispetto della sicurezza del sistema e ad una gestione coordinata ed integrata di tutti i propri impianti. A tal fine, attraverso il proprio dispacciamento, l’Impresa di Stoccaggio effettua un monitoraggio continuo dei parametri del </w:t>
      </w:r>
      <w:r>
        <w:lastRenderedPageBreak/>
        <w:t>Sistema, assicura la corretta programmazione, la sicurezza e l’efficienza del Sistema.</w:t>
      </w:r>
    </w:p>
    <w:p w:rsidR="00A16116" w:rsidRDefault="00A16116" w:rsidP="00A16116">
      <w:pPr>
        <w:pStyle w:val="Corpotesto"/>
      </w:pPr>
    </w:p>
    <w:p w:rsidR="00A16116" w:rsidRDefault="00A16116" w:rsidP="00A16116">
      <w:pPr>
        <w:pStyle w:val="Corpotesto"/>
      </w:pPr>
      <w:r>
        <w:t>L’Utente è invece tenuto al rispetto dei programmi operativi di cui al capitolo 6 ed al rispetto del bilanciamento delle quantità immesse ed erogate dal Sistema, tenuto conto di eventuali consumi attribuiti.</w:t>
      </w:r>
    </w:p>
    <w:p w:rsidR="00A16116" w:rsidRDefault="00A16116" w:rsidP="00A16116">
      <w:pPr>
        <w:pStyle w:val="Corpotesto"/>
      </w:pPr>
      <w:r>
        <w:t>Qualora un Utente prelevi gas in eccesso rispetto a quello detenuto in stoccaggio, l’Impresa di Stoccaggio lo dovrà considerare come Gas erogato dalla riserva strategica. Le modalità di allocazione del gas di seguito descritte determinano che l’erogazione oltre il gas detenuto in stoccaggio può avvenire solo nel caso del servizio di modulazione.</w:t>
      </w:r>
    </w:p>
    <w:p w:rsidR="00A16116" w:rsidRDefault="00A16116" w:rsidP="00A16116">
      <w:pPr>
        <w:pStyle w:val="Corpotesto"/>
      </w:pPr>
      <w:r>
        <w:t xml:space="preserve"> </w:t>
      </w:r>
    </w:p>
    <w:p w:rsidR="00A16116" w:rsidRDefault="00A16116" w:rsidP="00A16116">
      <w:pPr>
        <w:pStyle w:val="Corpotesto"/>
      </w:pPr>
      <w:r w:rsidRPr="006B5F63">
        <w:t>Il capitolo pertanto descrive le modalità di allocazione dei quantitativi di gas movimentati giornalmente presso l’</w:t>
      </w:r>
      <w:proofErr w:type="spellStart"/>
      <w:r w:rsidRPr="006B5F63">
        <w:t>Hub</w:t>
      </w:r>
      <w:proofErr w:type="spellEnd"/>
      <w:r w:rsidRPr="006B5F63">
        <w:t xml:space="preserve"> dell’Impresa di Stoccaggio, le metodologie di calcolo delle giacenze al termine di ciascun</w:t>
      </w:r>
      <w:r w:rsidRPr="00043E69">
        <w:t xml:space="preserve"> giorno</w:t>
      </w:r>
      <w:r w:rsidRPr="006B5F63">
        <w:t>, le operazioni di compensazione delle posizioni consentite e gli eventuali corrispettivi di bilanciamento applicati dall’Impresa di Stoccaggio e previsti dalla Delibera al fine di incentivare l’Utente al corretto uso del servizio acquistato.</w:t>
      </w:r>
    </w:p>
    <w:p w:rsidR="00A16116" w:rsidRPr="00687D56" w:rsidRDefault="00A16116" w:rsidP="00A16116">
      <w:pPr>
        <w:pStyle w:val="Titolo2"/>
      </w:pPr>
      <w:bookmarkStart w:id="2" w:name="_Toc363031694"/>
      <w:r>
        <w:t>ALLOCAZIONI</w:t>
      </w:r>
      <w:bookmarkEnd w:id="2"/>
      <w:r w:rsidRPr="00687D56">
        <w:t xml:space="preserve"> </w:t>
      </w:r>
    </w:p>
    <w:p w:rsidR="00A16116" w:rsidRDefault="00A16116" w:rsidP="00A16116">
      <w:pPr>
        <w:pStyle w:val="Corpotesto"/>
      </w:pPr>
      <w:r w:rsidRPr="00043E69">
        <w:t>L’Impresa di Stoccaggio definisce le Allocazioni, sulla base delle misure dei flussi complessivi di gas in entrata ed in uscita dal Sistema di Stoccaggio e delle informazioni ricevute dall’Impresa Maggiore di Trasporto secondo la procedura in vigore pubblicata sul sito internet dell’Impresa di Stoccaggio</w:t>
      </w:r>
      <w:r w:rsidRPr="006B2AAF">
        <w:t>, applicando una ripartizione in base ai criteri di seguito indicati.</w:t>
      </w:r>
    </w:p>
    <w:p w:rsidR="00A16116" w:rsidRDefault="00A16116" w:rsidP="00A16116">
      <w:pPr>
        <w:pStyle w:val="Corpotesto"/>
      </w:pPr>
    </w:p>
    <w:p w:rsidR="00A16116" w:rsidRDefault="00A16116" w:rsidP="00A16116">
      <w:pPr>
        <w:pStyle w:val="Corpotesto"/>
      </w:pPr>
      <w:r w:rsidRPr="001D1142">
        <w:t>L’equazione riguardante il Sistema di Stoccaggio è, per ogni Giorno Gas</w:t>
      </w:r>
      <w:r>
        <w:t xml:space="preserve"> G</w:t>
      </w:r>
      <w:r w:rsidRPr="001D1142">
        <w:t>, la seguente:</w:t>
      </w:r>
    </w:p>
    <w:p w:rsidR="00A16116" w:rsidRPr="001D1142" w:rsidRDefault="00A16116" w:rsidP="00A16116">
      <w:pPr>
        <w:pStyle w:val="Corpotesto"/>
      </w:pPr>
    </w:p>
    <w:p w:rsidR="00A16116" w:rsidRDefault="00A16116" w:rsidP="00A16116">
      <w:pPr>
        <w:pStyle w:val="Corpotesto"/>
      </w:pPr>
      <w:r w:rsidRPr="00B10042">
        <w:t>M =</w:t>
      </w:r>
      <w:r w:rsidRPr="00B10042">
        <w:rPr>
          <w:rFonts w:cs="Arial"/>
        </w:rPr>
        <w:t>│</w:t>
      </w:r>
      <w:r w:rsidRPr="00B10042">
        <w:rPr>
          <w:rFonts w:ascii="Symbol" w:hAnsi="Symbol"/>
        </w:rPr>
        <w:t></w:t>
      </w:r>
      <w:r w:rsidRPr="00B10042">
        <w:t>G</w:t>
      </w:r>
      <w:r w:rsidRPr="00B10042">
        <w:rPr>
          <w:rFonts w:cs="Arial"/>
        </w:rPr>
        <w:t>│</w:t>
      </w:r>
      <w:r w:rsidRPr="00B10042">
        <w:t xml:space="preserve"> </w:t>
      </w:r>
      <w:r>
        <w:t>+</w:t>
      </w:r>
      <w:r w:rsidRPr="00B10042">
        <w:t xml:space="preserve"> AC</w:t>
      </w:r>
      <w:r w:rsidRPr="005B3602">
        <w:t xml:space="preserve"> </w:t>
      </w:r>
      <w:r>
        <w:t xml:space="preserve"> qualora il flusso sia in iniezione</w:t>
      </w:r>
    </w:p>
    <w:p w:rsidR="00A16116" w:rsidRPr="005B3602" w:rsidRDefault="00A16116" w:rsidP="00A16116">
      <w:pPr>
        <w:pStyle w:val="Corpotesto"/>
      </w:pPr>
    </w:p>
    <w:p w:rsidR="00A16116" w:rsidRDefault="00A16116" w:rsidP="00A16116">
      <w:pPr>
        <w:pStyle w:val="Corpotesto"/>
      </w:pPr>
      <w:r w:rsidRPr="00B10042">
        <w:t>M =</w:t>
      </w:r>
      <w:r w:rsidRPr="00B10042">
        <w:rPr>
          <w:rFonts w:cs="Arial"/>
        </w:rPr>
        <w:t>│</w:t>
      </w:r>
      <w:r w:rsidRPr="00B10042">
        <w:rPr>
          <w:rFonts w:ascii="Symbol" w:hAnsi="Symbol"/>
        </w:rPr>
        <w:t></w:t>
      </w:r>
      <w:r w:rsidRPr="00B10042">
        <w:t>G</w:t>
      </w:r>
      <w:r w:rsidRPr="00B10042">
        <w:rPr>
          <w:rFonts w:cs="Arial"/>
        </w:rPr>
        <w:t>│</w:t>
      </w:r>
      <w:r w:rsidRPr="00B10042">
        <w:t xml:space="preserve"> </w:t>
      </w:r>
      <w:r>
        <w:rPr>
          <w:rFonts w:cs="Arial"/>
        </w:rPr>
        <w:t>-</w:t>
      </w:r>
      <w:r w:rsidRPr="00B10042">
        <w:t xml:space="preserve"> AC</w:t>
      </w:r>
      <w:r w:rsidRPr="005B3602">
        <w:t xml:space="preserve"> </w:t>
      </w:r>
      <w:r>
        <w:t>qualora il flusso sia in erogazione</w:t>
      </w:r>
    </w:p>
    <w:p w:rsidR="00A16116" w:rsidRDefault="00A16116" w:rsidP="00A16116">
      <w:pPr>
        <w:pStyle w:val="Corpotesto"/>
      </w:pPr>
    </w:p>
    <w:p w:rsidR="00A16116" w:rsidRDefault="00A16116" w:rsidP="00A16116">
      <w:pPr>
        <w:pStyle w:val="Corpotesto"/>
      </w:pPr>
      <w:r w:rsidRPr="001D1142">
        <w:t xml:space="preserve">a) </w:t>
      </w:r>
      <w:r>
        <w:t>Misura</w:t>
      </w:r>
      <w:r w:rsidRPr="001D1142">
        <w:t xml:space="preserve"> giornalier</w:t>
      </w:r>
      <w:r>
        <w:t>a dei flussi</w:t>
      </w:r>
      <w:r w:rsidRPr="001D1142">
        <w:t xml:space="preserve"> di Gas da/verso lo stoccaggio</w:t>
      </w:r>
    </w:p>
    <w:p w:rsidR="00A16116" w:rsidRDefault="00A16116" w:rsidP="00A16116">
      <w:pPr>
        <w:pStyle w:val="Corpotesto"/>
      </w:pPr>
    </w:p>
    <w:p w:rsidR="00A16116" w:rsidRDefault="00A16116" w:rsidP="00A16116">
      <w:pPr>
        <w:pStyle w:val="Corpotesto"/>
      </w:pPr>
      <w:r w:rsidRPr="001D1142">
        <w:t xml:space="preserve">Il termine </w:t>
      </w:r>
      <w:r>
        <w:t>M</w:t>
      </w:r>
      <w:r w:rsidRPr="001D1142">
        <w:t xml:space="preserve"> rappresenta </w:t>
      </w:r>
      <w:r>
        <w:t>la misura dei flussi</w:t>
      </w:r>
      <w:r w:rsidRPr="001D1142">
        <w:t xml:space="preserve"> di Gas verso (o da) il Sistema di Stoccaggio ottenuto come somma delle quantità iniettate (o erogate) dagli</w:t>
      </w:r>
      <w:r>
        <w:t xml:space="preserve"> U</w:t>
      </w:r>
      <w:r w:rsidRPr="001D1142">
        <w:t xml:space="preserve">tenti nel (o dal) Sistema di Stoccaggio, in </w:t>
      </w:r>
      <w:r w:rsidRPr="001D1142">
        <w:lastRenderedPageBreak/>
        <w:t>corrispondenza</w:t>
      </w:r>
      <w:r>
        <w:t xml:space="preserve"> </w:t>
      </w:r>
      <w:r w:rsidRPr="001D1142">
        <w:t>del punto di interconnessione virtuale corrispondente all’</w:t>
      </w:r>
      <w:proofErr w:type="spellStart"/>
      <w:r w:rsidRPr="001D1142">
        <w:rPr>
          <w:i/>
        </w:rPr>
        <w:t>Hub</w:t>
      </w:r>
      <w:proofErr w:type="spellEnd"/>
      <w:r w:rsidRPr="001D1142">
        <w:rPr>
          <w:i/>
        </w:rPr>
        <w:t xml:space="preserve"> </w:t>
      </w:r>
      <w:r w:rsidRPr="001D1142">
        <w:t>di stoccaggio.</w:t>
      </w:r>
    </w:p>
    <w:p w:rsidR="00A16116" w:rsidRPr="001D1142" w:rsidRDefault="00A16116" w:rsidP="00A16116">
      <w:pPr>
        <w:pStyle w:val="Corpotesto"/>
      </w:pPr>
    </w:p>
    <w:p w:rsidR="00A16116" w:rsidRDefault="00A16116" w:rsidP="00A16116">
      <w:pPr>
        <w:pStyle w:val="Corpotesto"/>
      </w:pPr>
      <w:r w:rsidRPr="001D1142">
        <w:t>b) Variazione giornaliera gas stoccato</w:t>
      </w:r>
    </w:p>
    <w:p w:rsidR="00A16116" w:rsidRPr="001D1142" w:rsidRDefault="00A16116" w:rsidP="00A16116">
      <w:pPr>
        <w:pStyle w:val="Corpotesto"/>
      </w:pPr>
    </w:p>
    <w:p w:rsidR="00A16116" w:rsidRDefault="00A16116" w:rsidP="00A16116">
      <w:pPr>
        <w:pStyle w:val="Corpotesto"/>
      </w:pPr>
      <w:r w:rsidRPr="001D1142">
        <w:t xml:space="preserve">Il termine </w:t>
      </w:r>
      <w:r w:rsidRPr="00B10042">
        <w:rPr>
          <w:rFonts w:cs="Arial"/>
        </w:rPr>
        <w:t>│</w:t>
      </w:r>
      <w:r w:rsidRPr="00B10042">
        <w:rPr>
          <w:rFonts w:ascii="Symbol" w:hAnsi="Symbol"/>
        </w:rPr>
        <w:t></w:t>
      </w:r>
      <w:r w:rsidRPr="00B10042">
        <w:t>G</w:t>
      </w:r>
      <w:r>
        <w:rPr>
          <w:rFonts w:cs="Arial"/>
        </w:rPr>
        <w:t>│</w:t>
      </w:r>
      <w:r w:rsidRPr="001D1142">
        <w:t xml:space="preserve"> rappresenta</w:t>
      </w:r>
      <w:r>
        <w:t xml:space="preserve"> il valore assoluto dell</w:t>
      </w:r>
      <w:r w:rsidRPr="001D1142">
        <w:t>a variazione del Gas in stoccaggio, data dalla differenza tra la disponibilità totale del Gas</w:t>
      </w:r>
      <w:r>
        <w:t xml:space="preserve"> </w:t>
      </w:r>
      <w:r w:rsidRPr="001D1142">
        <w:t>presente nel Sistema, riferita a due GG successivi.</w:t>
      </w:r>
      <w:r>
        <w:t xml:space="preserve"> </w:t>
      </w:r>
    </w:p>
    <w:p w:rsidR="00A16116" w:rsidRDefault="00A16116" w:rsidP="00A16116">
      <w:pPr>
        <w:pStyle w:val="Corpotesto"/>
      </w:pPr>
    </w:p>
    <w:p w:rsidR="00A16116" w:rsidRPr="001D1142" w:rsidRDefault="00A16116" w:rsidP="00A16116">
      <w:pPr>
        <w:pStyle w:val="Corpotesto"/>
      </w:pPr>
      <w:r w:rsidRPr="001D1142">
        <w:t xml:space="preserve">c) </w:t>
      </w:r>
      <w:r>
        <w:t>Autoconsumi</w:t>
      </w:r>
    </w:p>
    <w:p w:rsidR="00A16116" w:rsidRDefault="00A16116" w:rsidP="00A16116">
      <w:pPr>
        <w:pStyle w:val="Corpotesto"/>
      </w:pPr>
    </w:p>
    <w:p w:rsidR="00A16116" w:rsidRDefault="00A16116" w:rsidP="00A16116">
      <w:pPr>
        <w:pStyle w:val="Corpotesto"/>
      </w:pPr>
      <w:r w:rsidRPr="001D1142">
        <w:t xml:space="preserve">Il termine </w:t>
      </w:r>
      <w:r>
        <w:t>A</w:t>
      </w:r>
      <w:r w:rsidRPr="001D1142">
        <w:t xml:space="preserve">C </w:t>
      </w:r>
      <w:r>
        <w:t xml:space="preserve">rappresenta la misura del </w:t>
      </w:r>
      <w:r w:rsidRPr="001D1142">
        <w:t>Gas necessario al funzionamento degli impianti di</w:t>
      </w:r>
      <w:r>
        <w:t xml:space="preserve"> trattamento e degli usi interni di impianto (autoconsumi) ed è </w:t>
      </w:r>
      <w:r w:rsidRPr="001D1142">
        <w:t xml:space="preserve">calcolato come somma dei valori in </w:t>
      </w:r>
      <w:r>
        <w:t>energia degli autoconsumi</w:t>
      </w:r>
      <w:r w:rsidRPr="001D1142">
        <w:t xml:space="preserve"> rilevati</w:t>
      </w:r>
      <w:r>
        <w:t xml:space="preserve"> </w:t>
      </w:r>
      <w:r w:rsidRPr="001D1142">
        <w:t>presso ogni sito di stoccaggio; ciascun valore è ottenuto dalla moltiplicazione del volume di gas</w:t>
      </w:r>
      <w:r>
        <w:t xml:space="preserve"> attribuito agli autoconsumi</w:t>
      </w:r>
      <w:r w:rsidRPr="001D1142">
        <w:t xml:space="preserve"> per il PCS medio giornaliero corrispondente</w:t>
      </w:r>
      <w:r>
        <w:t>.</w:t>
      </w:r>
    </w:p>
    <w:p w:rsidR="00A16116" w:rsidRPr="001D1142" w:rsidRDefault="00A16116" w:rsidP="00A16116">
      <w:pPr>
        <w:pStyle w:val="Corpotesto"/>
      </w:pPr>
    </w:p>
    <w:p w:rsidR="00A16116" w:rsidRDefault="00A16116" w:rsidP="00A16116">
      <w:pPr>
        <w:pStyle w:val="Corpotesto"/>
      </w:pPr>
      <w:r>
        <w:t>Edison Stoccaggio S.p.A</w:t>
      </w:r>
      <w:r w:rsidRPr="001D1142">
        <w:t xml:space="preserve"> calcola, per ogni sito e a livello aggregato l’energia movimentata da/verso il</w:t>
      </w:r>
      <w:r>
        <w:t xml:space="preserve"> </w:t>
      </w:r>
      <w:r w:rsidRPr="001D1142">
        <w:t>Sistema di Stoccaggio e trasmette, per ogni Giorno Gas</w:t>
      </w:r>
      <w:r>
        <w:t xml:space="preserve"> G</w:t>
      </w:r>
      <w:r w:rsidRPr="001D1142">
        <w:t>, a S</w:t>
      </w:r>
      <w:r>
        <w:t xml:space="preserve">nam Rete Gas </w:t>
      </w:r>
      <w:r w:rsidRPr="001D1142">
        <w:t>il dato complessivo di misura in</w:t>
      </w:r>
      <w:r>
        <w:t xml:space="preserve"> </w:t>
      </w:r>
      <w:r w:rsidRPr="001D1142">
        <w:t>GJ</w:t>
      </w:r>
      <w:r>
        <w:t xml:space="preserve"> (termine M)</w:t>
      </w:r>
      <w:r w:rsidRPr="001D1142">
        <w:t xml:space="preserve"> in modo da consentire a quest’ultima la chiusura del bilancio della RNT</w:t>
      </w:r>
      <w:r>
        <w:t xml:space="preserve"> </w:t>
      </w:r>
      <w:proofErr w:type="spellStart"/>
      <w:r w:rsidRPr="001D1142">
        <w:t>nonchè</w:t>
      </w:r>
      <w:proofErr w:type="spellEnd"/>
      <w:r w:rsidRPr="001D1142">
        <w:t xml:space="preserve"> la determinazione dello Sbilanciamento Complessivo di Sistema</w:t>
      </w:r>
      <w:r>
        <w:t xml:space="preserve"> (SCS)</w:t>
      </w:r>
      <w:r w:rsidRPr="001D1142">
        <w:t xml:space="preserve"> dato dalla differenza</w:t>
      </w:r>
      <w:r>
        <w:t xml:space="preserve"> tra</w:t>
      </w:r>
      <w:r w:rsidRPr="001D1142">
        <w:t xml:space="preserve"> il</w:t>
      </w:r>
      <w:r>
        <w:t xml:space="preserve"> </w:t>
      </w:r>
      <w:r w:rsidRPr="001D1142">
        <w:t xml:space="preserve">suddetto termine </w:t>
      </w:r>
      <w:r>
        <w:t>M</w:t>
      </w:r>
      <w:r w:rsidRPr="001D1142">
        <w:t xml:space="preserve"> e il totale delle Riformulazioni comunicate a </w:t>
      </w:r>
      <w:r>
        <w:t>Edison Stoccaggio S.p.A e</w:t>
      </w:r>
      <w:r w:rsidRPr="001D1142">
        <w:t xml:space="preserve"> come da</w:t>
      </w:r>
      <w:r>
        <w:t xml:space="preserve"> questa ultima</w:t>
      </w:r>
      <w:r w:rsidRPr="001D1142">
        <w:t xml:space="preserve"> confermate ai sensi </w:t>
      </w:r>
      <w:r>
        <w:t>dei paragrafi</w:t>
      </w:r>
      <w:r w:rsidRPr="001D1142">
        <w:t xml:space="preserve"> </w:t>
      </w:r>
      <w:r>
        <w:t>6.6.4</w:t>
      </w:r>
      <w:r w:rsidRPr="008B5DE5">
        <w:t xml:space="preserve"> e </w:t>
      </w:r>
      <w:r>
        <w:t>6.6.5</w:t>
      </w:r>
      <w:r w:rsidRPr="001D1142">
        <w:t>.</w:t>
      </w:r>
    </w:p>
    <w:p w:rsidR="00A16116" w:rsidRDefault="00A16116" w:rsidP="00A16116">
      <w:pPr>
        <w:pStyle w:val="Corpotesto"/>
      </w:pPr>
    </w:p>
    <w:p w:rsidR="00A16116" w:rsidRDefault="00A16116" w:rsidP="00A16116">
      <w:pPr>
        <w:pStyle w:val="Titolo3"/>
        <w:ind w:left="360"/>
      </w:pPr>
      <w:bookmarkStart w:id="3" w:name="_Toc363031695"/>
      <w:r w:rsidRPr="008B5DE5">
        <w:t>Contabilità del gas movimentato da/verso il Sistema di Stoccaggio dall’U</w:t>
      </w:r>
      <w:r>
        <w:t>tente</w:t>
      </w:r>
      <w:bookmarkEnd w:id="3"/>
    </w:p>
    <w:p w:rsidR="00A16116" w:rsidRPr="008B5DE5" w:rsidRDefault="00A16116" w:rsidP="00A16116">
      <w:pPr>
        <w:pStyle w:val="Corpotesto"/>
        <w:rPr>
          <w:i/>
        </w:rPr>
      </w:pPr>
    </w:p>
    <w:p w:rsidR="00A16116" w:rsidRDefault="00A16116" w:rsidP="00A16116">
      <w:pPr>
        <w:pStyle w:val="Corpotesto"/>
      </w:pPr>
      <w:r>
        <w:t>Edison Stoccaggio S.p.A</w:t>
      </w:r>
      <w:r w:rsidRPr="008B5DE5">
        <w:t>, con cadenza giornaliera, determina, per ogni U</w:t>
      </w:r>
      <w:r>
        <w:t>tente</w:t>
      </w:r>
      <w:r w:rsidRPr="008B5DE5">
        <w:t xml:space="preserve">, il termine </w:t>
      </w:r>
      <w:proofErr w:type="spellStart"/>
      <w:r w:rsidRPr="008B5DE5">
        <w:t>S</w:t>
      </w:r>
      <w:r w:rsidRPr="00D5523F">
        <w:rPr>
          <w:vertAlign w:val="subscript"/>
        </w:rPr>
        <w:t>k</w:t>
      </w:r>
      <w:proofErr w:type="spellEnd"/>
      <w:r w:rsidRPr="008B5DE5">
        <w:t xml:space="preserve"> (Allocazione</w:t>
      </w:r>
      <w:r>
        <w:t xml:space="preserve"> </w:t>
      </w:r>
      <w:r w:rsidRPr="008B5DE5">
        <w:t>dell’U</w:t>
      </w:r>
      <w:r>
        <w:t>tente</w:t>
      </w:r>
      <w:r w:rsidRPr="008B5DE5">
        <w:t xml:space="preserve"> k-esimo nel Giorno Gas</w:t>
      </w:r>
      <w:r>
        <w:t xml:space="preserve"> G </w:t>
      </w:r>
      <w:r w:rsidRPr="001D1142">
        <w:t>in corrispondenza</w:t>
      </w:r>
      <w:r>
        <w:t xml:space="preserve"> </w:t>
      </w:r>
      <w:r w:rsidRPr="001D1142">
        <w:t>del punto di interconnessione virtuale corrispondente all’</w:t>
      </w:r>
      <w:proofErr w:type="spellStart"/>
      <w:r w:rsidRPr="001D1142">
        <w:rPr>
          <w:i/>
        </w:rPr>
        <w:t>Hub</w:t>
      </w:r>
      <w:proofErr w:type="spellEnd"/>
      <w:r w:rsidRPr="001D1142">
        <w:rPr>
          <w:i/>
        </w:rPr>
        <w:t xml:space="preserve"> </w:t>
      </w:r>
      <w:r w:rsidRPr="001D1142">
        <w:t>di stoccaggio</w:t>
      </w:r>
      <w:r>
        <w:t xml:space="preserve"> </w:t>
      </w:r>
      <w:r w:rsidRPr="008B5DE5">
        <w:t>) come somma di:</w:t>
      </w:r>
    </w:p>
    <w:p w:rsidR="00A16116" w:rsidRPr="008B5DE5" w:rsidRDefault="00A16116" w:rsidP="00A16116">
      <w:pPr>
        <w:pStyle w:val="Corpotesto"/>
      </w:pPr>
    </w:p>
    <w:p w:rsidR="00A16116" w:rsidRPr="00102B92" w:rsidRDefault="00A16116" w:rsidP="00A16116">
      <w:pPr>
        <w:pStyle w:val="Corpotesto"/>
        <w:ind w:left="1162" w:firstLine="254"/>
        <w:rPr>
          <w:i/>
        </w:rPr>
      </w:pPr>
      <w:proofErr w:type="spellStart"/>
      <w:r w:rsidRPr="00102B92">
        <w:rPr>
          <w:i/>
        </w:rPr>
        <w:t>S</w:t>
      </w:r>
      <w:r w:rsidRPr="00102B92">
        <w:rPr>
          <w:i/>
          <w:vertAlign w:val="subscript"/>
        </w:rPr>
        <w:t>k</w:t>
      </w:r>
      <w:proofErr w:type="spellEnd"/>
      <w:r w:rsidRPr="00102B92">
        <w:rPr>
          <w:i/>
        </w:rPr>
        <w:t xml:space="preserve"> = </w:t>
      </w:r>
      <w:proofErr w:type="spellStart"/>
      <w:r w:rsidRPr="00102B92">
        <w:rPr>
          <w:i/>
        </w:rPr>
        <w:t>SN</w:t>
      </w:r>
      <w:r w:rsidRPr="00102B92">
        <w:rPr>
          <w:i/>
          <w:vertAlign w:val="subscript"/>
        </w:rPr>
        <w:t>k</w:t>
      </w:r>
      <w:proofErr w:type="spellEnd"/>
      <w:r w:rsidRPr="00102B92">
        <w:rPr>
          <w:i/>
        </w:rPr>
        <w:t xml:space="preserve"> + </w:t>
      </w:r>
      <w:proofErr w:type="spellStart"/>
      <w:r w:rsidRPr="00102B92">
        <w:rPr>
          <w:i/>
        </w:rPr>
        <w:t>SM</w:t>
      </w:r>
      <w:r w:rsidRPr="00102B92">
        <w:rPr>
          <w:i/>
          <w:vertAlign w:val="subscript"/>
        </w:rPr>
        <w:t>k</w:t>
      </w:r>
      <w:proofErr w:type="spellEnd"/>
    </w:p>
    <w:p w:rsidR="00A16116" w:rsidRPr="00102B92" w:rsidRDefault="00A16116" w:rsidP="00A16116">
      <w:pPr>
        <w:pStyle w:val="Corpotesto"/>
      </w:pPr>
      <w:r w:rsidRPr="00102B92">
        <w:t>dove:</w:t>
      </w:r>
    </w:p>
    <w:p w:rsidR="00A16116" w:rsidRPr="00102B92" w:rsidRDefault="00A16116" w:rsidP="00A16116">
      <w:pPr>
        <w:pStyle w:val="Corpotesto"/>
      </w:pPr>
    </w:p>
    <w:p w:rsidR="00A16116" w:rsidRDefault="00A16116" w:rsidP="00A16116">
      <w:pPr>
        <w:pStyle w:val="Corpotesto"/>
      </w:pPr>
      <w:proofErr w:type="spellStart"/>
      <w:r w:rsidRPr="008B5DE5">
        <w:rPr>
          <w:i/>
        </w:rPr>
        <w:t>SN</w:t>
      </w:r>
      <w:r w:rsidRPr="008B5DE5">
        <w:rPr>
          <w:i/>
          <w:vertAlign w:val="subscript"/>
        </w:rPr>
        <w:t>k</w:t>
      </w:r>
      <w:proofErr w:type="spellEnd"/>
      <w:r w:rsidRPr="008B5DE5">
        <w:rPr>
          <w:i/>
        </w:rPr>
        <w:t xml:space="preserve"> </w:t>
      </w:r>
      <w:r w:rsidRPr="008B5DE5">
        <w:t xml:space="preserve">rappresenta il quantitativo programmato </w:t>
      </w:r>
      <w:r>
        <w:t xml:space="preserve">dall’Utente </w:t>
      </w:r>
      <w:r w:rsidRPr="008B5DE5">
        <w:t xml:space="preserve">e confermato da </w:t>
      </w:r>
      <w:r>
        <w:t xml:space="preserve">Edison Stoccaggio S.p.A </w:t>
      </w:r>
      <w:r w:rsidRPr="008B5DE5">
        <w:t>ai sensi dei paragrafi</w:t>
      </w:r>
      <w:r>
        <w:t xml:space="preserve"> 6.6.4</w:t>
      </w:r>
      <w:r w:rsidRPr="008B5DE5">
        <w:t xml:space="preserve"> e </w:t>
      </w:r>
      <w:r>
        <w:t>6.6.5</w:t>
      </w:r>
      <w:r w:rsidRPr="008B5DE5">
        <w:t>;</w:t>
      </w:r>
    </w:p>
    <w:p w:rsidR="00A16116" w:rsidRPr="008B5DE5" w:rsidRDefault="00A16116" w:rsidP="00A16116">
      <w:pPr>
        <w:pStyle w:val="Corpotesto"/>
      </w:pPr>
    </w:p>
    <w:p w:rsidR="00A16116" w:rsidRDefault="00A16116" w:rsidP="00A16116">
      <w:pPr>
        <w:pStyle w:val="Corpotesto"/>
      </w:pPr>
      <w:proofErr w:type="spellStart"/>
      <w:r w:rsidRPr="008B5DE5">
        <w:rPr>
          <w:i/>
        </w:rPr>
        <w:t>SM</w:t>
      </w:r>
      <w:r w:rsidRPr="008B5DE5">
        <w:rPr>
          <w:i/>
          <w:vertAlign w:val="subscript"/>
        </w:rPr>
        <w:t>k</w:t>
      </w:r>
      <w:proofErr w:type="spellEnd"/>
      <w:r w:rsidRPr="008B5DE5">
        <w:rPr>
          <w:i/>
        </w:rPr>
        <w:t xml:space="preserve"> </w:t>
      </w:r>
      <w:r w:rsidRPr="008B5DE5">
        <w:t>rappresenta i</w:t>
      </w:r>
      <w:r>
        <w:t>l valore di pertinenza di Edison Stoccaggio S.p.A dei</w:t>
      </w:r>
      <w:r w:rsidRPr="008B5DE5">
        <w:t xml:space="preserve"> quantitativi selezionati nell’ambito della Piattaforma PB-GAS ai fini della</w:t>
      </w:r>
      <w:r>
        <w:t xml:space="preserve"> </w:t>
      </w:r>
      <w:r w:rsidRPr="008B5DE5">
        <w:t>copertura dello Sbilanciamento Complessivo di Sistema, come comunicati dal Responsabile</w:t>
      </w:r>
      <w:r>
        <w:t xml:space="preserve"> </w:t>
      </w:r>
      <w:r w:rsidRPr="008B5DE5">
        <w:t xml:space="preserve">del Bilanciamento. </w:t>
      </w:r>
    </w:p>
    <w:p w:rsidR="00A16116" w:rsidRDefault="00A16116" w:rsidP="00A16116">
      <w:pPr>
        <w:pStyle w:val="Corpotesto"/>
      </w:pPr>
      <w:r w:rsidRPr="008B5DE5">
        <w:t>Per l’U</w:t>
      </w:r>
      <w:r>
        <w:t>tente</w:t>
      </w:r>
      <w:r w:rsidRPr="008B5DE5">
        <w:t xml:space="preserve"> del Servizio di Bilanciamento</w:t>
      </w:r>
      <w:r>
        <w:t xml:space="preserve"> delle Imprese di Trasporto</w:t>
      </w:r>
      <w:r w:rsidRPr="008B5DE5">
        <w:t xml:space="preserve"> tale termine è uguale a zero.</w:t>
      </w:r>
    </w:p>
    <w:p w:rsidR="00A16116" w:rsidRDefault="00A16116" w:rsidP="00A16116">
      <w:pPr>
        <w:pStyle w:val="Corpotesto"/>
      </w:pPr>
    </w:p>
    <w:p w:rsidR="00A16116" w:rsidRPr="00E64801" w:rsidRDefault="00A16116" w:rsidP="00A16116">
      <w:pPr>
        <w:pStyle w:val="Corpotesto"/>
        <w:ind w:left="360"/>
        <w:rPr>
          <w:i/>
        </w:rPr>
      </w:pPr>
      <w:r w:rsidRPr="00E64801">
        <w:rPr>
          <w:i/>
        </w:rPr>
        <w:t>8.2.1.1 Contabilità del Gas per l’Utente cui è stata conferita Capacità di Stoccaggio per uno solo dei Servizi di Stoccaggio di cui al presente Codice</w:t>
      </w:r>
    </w:p>
    <w:p w:rsidR="00A16116" w:rsidRPr="00E64801" w:rsidRDefault="00A16116" w:rsidP="00A16116">
      <w:pPr>
        <w:pStyle w:val="Corpotesto"/>
        <w:ind w:left="360"/>
        <w:rPr>
          <w:i/>
        </w:rPr>
      </w:pPr>
    </w:p>
    <w:p w:rsidR="00A16116" w:rsidRPr="00E64801" w:rsidRDefault="00A16116" w:rsidP="00A16116">
      <w:pPr>
        <w:pStyle w:val="Corpotesto"/>
      </w:pPr>
      <w:r w:rsidRPr="00E64801">
        <w:t>Per ogni Giorno Gas</w:t>
      </w:r>
      <w:r>
        <w:t xml:space="preserve"> G</w:t>
      </w:r>
      <w:r w:rsidRPr="00E64801">
        <w:t xml:space="preserve">, </w:t>
      </w:r>
      <w:r>
        <w:t>Edison Stoccaggio S.p.A</w:t>
      </w:r>
      <w:r w:rsidRPr="00E64801">
        <w:t xml:space="preserve"> calcola il quantitativo di Gas detenuto da ogni Utente nel Sistema di Stoccaggio (</w:t>
      </w:r>
      <w:proofErr w:type="spellStart"/>
      <w:r w:rsidRPr="00E64801">
        <w:t>G</w:t>
      </w:r>
      <w:r w:rsidRPr="00E64801">
        <w:rPr>
          <w:vertAlign w:val="subscript"/>
        </w:rPr>
        <w:t>k</w:t>
      </w:r>
      <w:proofErr w:type="spellEnd"/>
      <w:r w:rsidRPr="00E64801">
        <w:t>), partendo dal quantitativo registrato per il G</w:t>
      </w:r>
      <w:r>
        <w:t>iorno Gas precedente</w:t>
      </w:r>
      <w:r w:rsidRPr="00E64801">
        <w:t xml:space="preserve"> (G-1</w:t>
      </w:r>
      <w:r w:rsidRPr="00E64801">
        <w:rPr>
          <w:vertAlign w:val="subscript"/>
        </w:rPr>
        <w:t>k</w:t>
      </w:r>
      <w:r w:rsidRPr="00E64801">
        <w:t>), secondo l</w:t>
      </w:r>
      <w:r>
        <w:t>e</w:t>
      </w:r>
      <w:r w:rsidRPr="00E64801">
        <w:t xml:space="preserve"> seguent</w:t>
      </w:r>
      <w:r>
        <w:t>i</w:t>
      </w:r>
      <w:r w:rsidRPr="00E64801">
        <w:t xml:space="preserve"> equazion</w:t>
      </w:r>
      <w:r>
        <w:t>i in funzione del Flusso Prevalente (</w:t>
      </w:r>
      <w:proofErr w:type="spellStart"/>
      <w:r>
        <w:t>FP</w:t>
      </w:r>
      <w:r w:rsidRPr="0018510C">
        <w:rPr>
          <w:vertAlign w:val="subscript"/>
        </w:rPr>
        <w:t>i</w:t>
      </w:r>
      <w:proofErr w:type="spellEnd"/>
      <w:r>
        <w:t>) del sistema così come definito al paragrafo 6.6.6</w:t>
      </w:r>
      <w:r w:rsidRPr="00E64801">
        <w:t>:</w:t>
      </w:r>
    </w:p>
    <w:p w:rsidR="00A16116" w:rsidRDefault="00A16116" w:rsidP="00A16116">
      <w:pPr>
        <w:autoSpaceDE w:val="0"/>
        <w:autoSpaceDN w:val="0"/>
        <w:adjustRightInd w:val="0"/>
        <w:rPr>
          <w:rFonts w:ascii="ArialMT" w:hAnsi="ArialMT" w:cs="ArialMT"/>
          <w:sz w:val="22"/>
          <w:szCs w:val="22"/>
        </w:rPr>
      </w:pPr>
    </w:p>
    <w:p w:rsidR="00A16116" w:rsidRPr="0037031F" w:rsidRDefault="00A16116" w:rsidP="00A16116">
      <w:pPr>
        <w:pStyle w:val="Corpotesto"/>
        <w:rPr>
          <w:lang w:val="en-GB"/>
        </w:rPr>
      </w:pPr>
      <w:proofErr w:type="spellStart"/>
      <w:r w:rsidRPr="00EF47F5">
        <w:rPr>
          <w:lang w:val="en-GB"/>
        </w:rPr>
        <w:t>S</w:t>
      </w:r>
      <w:r w:rsidRPr="00EF47F5">
        <w:rPr>
          <w:vertAlign w:val="subscript"/>
          <w:lang w:val="en-GB"/>
        </w:rPr>
        <w:t>k</w:t>
      </w:r>
      <w:proofErr w:type="spellEnd"/>
      <w:r w:rsidRPr="00EF47F5">
        <w:rPr>
          <w:lang w:val="en-GB"/>
        </w:rPr>
        <w:t xml:space="preserve"> + </w:t>
      </w:r>
      <w:proofErr w:type="spellStart"/>
      <w:r w:rsidRPr="00EF47F5">
        <w:rPr>
          <w:lang w:val="en-GB"/>
        </w:rPr>
        <w:t>ST</w:t>
      </w:r>
      <w:r w:rsidRPr="00EF47F5">
        <w:rPr>
          <w:vertAlign w:val="subscript"/>
          <w:lang w:val="en-GB"/>
        </w:rPr>
        <w:t>k</w:t>
      </w:r>
      <w:proofErr w:type="spellEnd"/>
      <w:r w:rsidRPr="00EF47F5">
        <w:rPr>
          <w:vertAlign w:val="subscript"/>
          <w:lang w:val="en-GB"/>
        </w:rPr>
        <w:t xml:space="preserve"> </w:t>
      </w:r>
      <w:r w:rsidRPr="00EF47F5">
        <w:rPr>
          <w:lang w:val="en-GB"/>
        </w:rPr>
        <w:t xml:space="preserve">- </w:t>
      </w:r>
      <w:proofErr w:type="spellStart"/>
      <w:r w:rsidRPr="00EF47F5">
        <w:rPr>
          <w:lang w:val="en-GB"/>
        </w:rPr>
        <w:t>AC</w:t>
      </w:r>
      <w:r w:rsidRPr="00EF47F5">
        <w:rPr>
          <w:vertAlign w:val="subscript"/>
          <w:lang w:val="en-GB"/>
        </w:rPr>
        <w:t>k</w:t>
      </w:r>
      <w:proofErr w:type="spellEnd"/>
      <w:r w:rsidRPr="00EF47F5">
        <w:rPr>
          <w:lang w:val="en-GB"/>
        </w:rPr>
        <w:t xml:space="preserve"> = </w:t>
      </w:r>
      <w:proofErr w:type="spellStart"/>
      <w:r w:rsidRPr="00EF47F5">
        <w:rPr>
          <w:lang w:val="en-GB"/>
        </w:rPr>
        <w:t>G</w:t>
      </w:r>
      <w:r w:rsidRPr="00EF47F5">
        <w:rPr>
          <w:vertAlign w:val="subscript"/>
          <w:lang w:val="en-GB"/>
        </w:rPr>
        <w:t>k</w:t>
      </w:r>
      <w:proofErr w:type="spellEnd"/>
      <w:r w:rsidRPr="00EF47F5">
        <w:rPr>
          <w:lang w:val="en-GB"/>
        </w:rPr>
        <w:t xml:space="preserve"> - G-1</w:t>
      </w:r>
      <w:r w:rsidRPr="00EF47F5">
        <w:rPr>
          <w:vertAlign w:val="subscript"/>
          <w:lang w:val="en-GB"/>
        </w:rPr>
        <w:t xml:space="preserve">k </w:t>
      </w:r>
      <w:r>
        <w:rPr>
          <w:vertAlign w:val="subscript"/>
          <w:lang w:val="en-GB"/>
        </w:rPr>
        <w:tab/>
      </w:r>
      <w:r w:rsidRPr="0037031F">
        <w:rPr>
          <w:lang w:val="en-GB"/>
        </w:rPr>
        <w:t>(1)</w:t>
      </w:r>
    </w:p>
    <w:p w:rsidR="00A16116" w:rsidRDefault="00A16116" w:rsidP="00A16116">
      <w:pPr>
        <w:pStyle w:val="Corpotesto"/>
      </w:pPr>
      <w:r>
        <w:t xml:space="preserve">qualora </w:t>
      </w:r>
      <w:proofErr w:type="spellStart"/>
      <w:r>
        <w:t>FP</w:t>
      </w:r>
      <w:r w:rsidRPr="0018510C">
        <w:rPr>
          <w:vertAlign w:val="subscript"/>
        </w:rPr>
        <w:t>i</w:t>
      </w:r>
      <w:proofErr w:type="spellEnd"/>
      <w:r>
        <w:t xml:space="preserve"> coincida con</w:t>
      </w:r>
      <w:r w:rsidRPr="00B10042">
        <w:t xml:space="preserve"> </w:t>
      </w:r>
      <w:r>
        <w:t>il verso della fase</w:t>
      </w:r>
      <w:r w:rsidRPr="00B10042">
        <w:t xml:space="preserve"> di Iniezione</w:t>
      </w:r>
    </w:p>
    <w:p w:rsidR="00A16116" w:rsidRDefault="00A16116" w:rsidP="00A16116">
      <w:pPr>
        <w:pStyle w:val="Corpotesto"/>
      </w:pPr>
    </w:p>
    <w:p w:rsidR="00A16116" w:rsidRPr="0037031F" w:rsidRDefault="00A16116" w:rsidP="00A16116">
      <w:pPr>
        <w:pStyle w:val="Corpotesto"/>
        <w:rPr>
          <w:vertAlign w:val="subscript"/>
          <w:lang w:val="en-GB"/>
        </w:rPr>
      </w:pPr>
      <w:proofErr w:type="spellStart"/>
      <w:r w:rsidRPr="0037031F">
        <w:rPr>
          <w:lang w:val="en-GB"/>
        </w:rPr>
        <w:t>S</w:t>
      </w:r>
      <w:r w:rsidRPr="0037031F">
        <w:rPr>
          <w:vertAlign w:val="subscript"/>
          <w:lang w:val="en-GB"/>
        </w:rPr>
        <w:t>k</w:t>
      </w:r>
      <w:proofErr w:type="spellEnd"/>
      <w:r w:rsidRPr="0037031F">
        <w:rPr>
          <w:lang w:val="en-GB"/>
        </w:rPr>
        <w:t xml:space="preserve"> + </w:t>
      </w:r>
      <w:proofErr w:type="spellStart"/>
      <w:r w:rsidRPr="0037031F">
        <w:rPr>
          <w:lang w:val="en-GB"/>
        </w:rPr>
        <w:t>ST</w:t>
      </w:r>
      <w:r w:rsidRPr="0037031F">
        <w:rPr>
          <w:vertAlign w:val="subscript"/>
          <w:lang w:val="en-GB"/>
        </w:rPr>
        <w:t>k</w:t>
      </w:r>
      <w:proofErr w:type="spellEnd"/>
      <w:r w:rsidRPr="0037031F">
        <w:rPr>
          <w:vertAlign w:val="subscript"/>
          <w:lang w:val="en-GB"/>
        </w:rPr>
        <w:t xml:space="preserve"> </w:t>
      </w:r>
      <w:r w:rsidRPr="0037031F">
        <w:rPr>
          <w:lang w:val="en-GB"/>
        </w:rPr>
        <w:t xml:space="preserve">+ </w:t>
      </w:r>
      <w:proofErr w:type="spellStart"/>
      <w:r w:rsidRPr="0037031F">
        <w:rPr>
          <w:lang w:val="en-GB"/>
        </w:rPr>
        <w:t>AC</w:t>
      </w:r>
      <w:r w:rsidRPr="0037031F">
        <w:rPr>
          <w:vertAlign w:val="subscript"/>
          <w:lang w:val="en-GB"/>
        </w:rPr>
        <w:t>k</w:t>
      </w:r>
      <w:proofErr w:type="spellEnd"/>
      <w:r w:rsidRPr="0037031F">
        <w:rPr>
          <w:lang w:val="en-GB"/>
        </w:rPr>
        <w:t xml:space="preserve"> = </w:t>
      </w:r>
      <w:proofErr w:type="spellStart"/>
      <w:r w:rsidRPr="0037031F">
        <w:rPr>
          <w:lang w:val="en-GB"/>
        </w:rPr>
        <w:t>G</w:t>
      </w:r>
      <w:r w:rsidRPr="0037031F">
        <w:rPr>
          <w:vertAlign w:val="subscript"/>
          <w:lang w:val="en-GB"/>
        </w:rPr>
        <w:t>k</w:t>
      </w:r>
      <w:proofErr w:type="spellEnd"/>
      <w:r w:rsidRPr="0037031F">
        <w:rPr>
          <w:lang w:val="en-GB"/>
        </w:rPr>
        <w:t xml:space="preserve"> - G-1</w:t>
      </w:r>
      <w:r w:rsidRPr="0037031F">
        <w:rPr>
          <w:vertAlign w:val="subscript"/>
          <w:lang w:val="en-GB"/>
        </w:rPr>
        <w:t xml:space="preserve">k  </w:t>
      </w:r>
      <w:r w:rsidRPr="0037031F">
        <w:rPr>
          <w:lang w:val="en-GB"/>
        </w:rPr>
        <w:t>(</w:t>
      </w:r>
      <w:r>
        <w:rPr>
          <w:lang w:val="en-GB"/>
        </w:rPr>
        <w:t>2</w:t>
      </w:r>
      <w:r w:rsidRPr="0037031F">
        <w:rPr>
          <w:lang w:val="en-GB"/>
        </w:rPr>
        <w:t>)</w:t>
      </w:r>
    </w:p>
    <w:p w:rsidR="00A16116" w:rsidRPr="00B10042" w:rsidRDefault="00A16116" w:rsidP="00A16116">
      <w:pPr>
        <w:pStyle w:val="Corpotesto"/>
      </w:pPr>
      <w:r>
        <w:t xml:space="preserve">qualora </w:t>
      </w:r>
      <w:proofErr w:type="spellStart"/>
      <w:r>
        <w:t>FP</w:t>
      </w:r>
      <w:r w:rsidRPr="0018510C">
        <w:rPr>
          <w:vertAlign w:val="subscript"/>
        </w:rPr>
        <w:t>i</w:t>
      </w:r>
      <w:proofErr w:type="spellEnd"/>
      <w:r>
        <w:t xml:space="preserve"> coincida con</w:t>
      </w:r>
      <w:r w:rsidRPr="00B10042">
        <w:t xml:space="preserve"> </w:t>
      </w:r>
      <w:r>
        <w:t>il verso</w:t>
      </w:r>
      <w:r w:rsidRPr="00B10042">
        <w:t xml:space="preserve"> </w:t>
      </w:r>
      <w:r>
        <w:t xml:space="preserve">della fase </w:t>
      </w:r>
      <w:r w:rsidRPr="00B10042">
        <w:t xml:space="preserve">di </w:t>
      </w:r>
      <w:r>
        <w:t>Eroga</w:t>
      </w:r>
      <w:r w:rsidRPr="00B10042">
        <w:t>zione</w:t>
      </w:r>
    </w:p>
    <w:p w:rsidR="00A16116" w:rsidRPr="00B10042" w:rsidRDefault="00A16116" w:rsidP="00A16116">
      <w:pPr>
        <w:pStyle w:val="Corpotesto"/>
      </w:pPr>
    </w:p>
    <w:p w:rsidR="00A16116" w:rsidRDefault="00A16116" w:rsidP="00A16116">
      <w:pPr>
        <w:pStyle w:val="Corpotesto"/>
      </w:pPr>
      <w:r w:rsidRPr="00E64801">
        <w:t>dove:</w:t>
      </w:r>
    </w:p>
    <w:p w:rsidR="00A16116" w:rsidRPr="00E64801" w:rsidRDefault="00A16116" w:rsidP="00A16116">
      <w:pPr>
        <w:pStyle w:val="Corpotesto"/>
      </w:pPr>
    </w:p>
    <w:p w:rsidR="00A16116" w:rsidRPr="00E64801" w:rsidRDefault="00A16116" w:rsidP="00A16116">
      <w:pPr>
        <w:pStyle w:val="Corpotesto"/>
      </w:pPr>
      <w:proofErr w:type="spellStart"/>
      <w:r w:rsidRPr="00E64801">
        <w:t>ST</w:t>
      </w:r>
      <w:r w:rsidRPr="000F7C52">
        <w:rPr>
          <w:vertAlign w:val="subscript"/>
        </w:rPr>
        <w:t>k</w:t>
      </w:r>
      <w:proofErr w:type="spellEnd"/>
      <w:r w:rsidRPr="00E64801">
        <w:t xml:space="preserve"> rappresenta il Gas complessivamente scambiato con efficacia nel G</w:t>
      </w:r>
      <w:r>
        <w:t xml:space="preserve">iorno </w:t>
      </w:r>
      <w:r w:rsidRPr="00E64801">
        <w:t>G</w:t>
      </w:r>
      <w:r>
        <w:t>as G</w:t>
      </w:r>
      <w:r w:rsidRPr="00E64801">
        <w:t xml:space="preserve"> dall’U</w:t>
      </w:r>
      <w:r>
        <w:t>tente</w:t>
      </w:r>
      <w:r w:rsidRPr="00E64801">
        <w:t xml:space="preserve"> k</w:t>
      </w:r>
      <w:r>
        <w:t>-</w:t>
      </w:r>
      <w:r w:rsidRPr="00E64801">
        <w:t>esimo</w:t>
      </w:r>
      <w:r>
        <w:t xml:space="preserve"> </w:t>
      </w:r>
      <w:r w:rsidRPr="00E64801">
        <w:t>(termine positivo se l’U</w:t>
      </w:r>
      <w:r>
        <w:t>tente</w:t>
      </w:r>
      <w:r w:rsidRPr="00E64801">
        <w:t xml:space="preserve"> k-esimo acquista, negativo se vende),</w:t>
      </w:r>
    </w:p>
    <w:p w:rsidR="00A16116" w:rsidRPr="00E64801" w:rsidRDefault="00A16116" w:rsidP="00A16116">
      <w:pPr>
        <w:pStyle w:val="Corpotesto"/>
      </w:pPr>
    </w:p>
    <w:p w:rsidR="00A16116" w:rsidRDefault="00A16116" w:rsidP="00A16116">
      <w:pPr>
        <w:pStyle w:val="Corpotesto"/>
      </w:pPr>
      <w:proofErr w:type="spellStart"/>
      <w:r>
        <w:t>A</w:t>
      </w:r>
      <w:r w:rsidRPr="00E64801">
        <w:t>C</w:t>
      </w:r>
      <w:r w:rsidRPr="00847A53">
        <w:rPr>
          <w:vertAlign w:val="subscript"/>
        </w:rPr>
        <w:t>k</w:t>
      </w:r>
      <w:proofErr w:type="spellEnd"/>
      <w:r w:rsidRPr="00E64801">
        <w:t xml:space="preserve"> rappresenta la quantità di </w:t>
      </w:r>
      <w:r>
        <w:t>autoconsumi</w:t>
      </w:r>
      <w:r w:rsidRPr="00E64801">
        <w:t xml:space="preserve"> addebitata all’U</w:t>
      </w:r>
      <w:r>
        <w:t>tente</w:t>
      </w:r>
      <w:r w:rsidRPr="00E64801">
        <w:t xml:space="preserve"> k-esimo e calcolata secondo</w:t>
      </w:r>
      <w:r>
        <w:t xml:space="preserve"> </w:t>
      </w:r>
      <w:r w:rsidRPr="00E64801">
        <w:t xml:space="preserve">quanto previsto </w:t>
      </w:r>
      <w:r>
        <w:t>al paragrafo 8.3.</w:t>
      </w:r>
    </w:p>
    <w:p w:rsidR="00A16116" w:rsidRDefault="00A16116" w:rsidP="00A16116">
      <w:pPr>
        <w:pStyle w:val="Corpotesto"/>
      </w:pPr>
    </w:p>
    <w:p w:rsidR="00A16116" w:rsidRPr="0037031F" w:rsidRDefault="00A16116" w:rsidP="00A16116">
      <w:pPr>
        <w:pStyle w:val="Corpotesto"/>
      </w:pPr>
      <w:bookmarkStart w:id="4" w:name="OLE_LINK3"/>
      <w:bookmarkStart w:id="5" w:name="OLE_LINK4"/>
      <w:r w:rsidRPr="000F6ACD">
        <w:t>Fino al 31 marzo 2013</w:t>
      </w:r>
      <w:r w:rsidRPr="000F6ACD">
        <w:rPr>
          <w:vertAlign w:val="subscript"/>
        </w:rPr>
        <w:t xml:space="preserve"> </w:t>
      </w:r>
      <w:r w:rsidRPr="000F6ACD">
        <w:t>l’equazione (1) sarà applicata in caso di contro flusso rispetto alla fase di erogazione e la (2) sarà applicata per le movimentazioni in flusso durante la fase di erogazione</w:t>
      </w:r>
      <w:bookmarkEnd w:id="4"/>
      <w:bookmarkEnd w:id="5"/>
      <w:r w:rsidRPr="000F6ACD">
        <w:t>.</w:t>
      </w:r>
    </w:p>
    <w:p w:rsidR="00A16116" w:rsidRDefault="00A16116" w:rsidP="00A16116">
      <w:pPr>
        <w:pStyle w:val="Corpotesto"/>
      </w:pPr>
    </w:p>
    <w:p w:rsidR="00A16116" w:rsidRPr="008C3D2C" w:rsidRDefault="00A16116" w:rsidP="00A16116">
      <w:pPr>
        <w:pStyle w:val="Corpotesto"/>
        <w:ind w:left="360"/>
        <w:rPr>
          <w:i/>
        </w:rPr>
      </w:pPr>
      <w:r>
        <w:rPr>
          <w:i/>
        </w:rPr>
        <w:t>8</w:t>
      </w:r>
      <w:r w:rsidRPr="008C3D2C">
        <w:rPr>
          <w:i/>
        </w:rPr>
        <w:t>.</w:t>
      </w:r>
      <w:r>
        <w:rPr>
          <w:i/>
        </w:rPr>
        <w:t>2</w:t>
      </w:r>
      <w:r w:rsidRPr="008C3D2C">
        <w:rPr>
          <w:i/>
        </w:rPr>
        <w:t>.</w:t>
      </w:r>
      <w:r>
        <w:rPr>
          <w:i/>
        </w:rPr>
        <w:t>1.2 Contabilità del Gas per l’Utente</w:t>
      </w:r>
      <w:r w:rsidRPr="008C3D2C">
        <w:rPr>
          <w:i/>
        </w:rPr>
        <w:t xml:space="preserve"> cui è stata conferita Capacità di Stoccaggio sia per il</w:t>
      </w:r>
      <w:r>
        <w:rPr>
          <w:i/>
        </w:rPr>
        <w:t xml:space="preserve"> </w:t>
      </w:r>
      <w:r w:rsidRPr="008C3D2C">
        <w:rPr>
          <w:i/>
        </w:rPr>
        <w:t>Servizi</w:t>
      </w:r>
      <w:r>
        <w:rPr>
          <w:i/>
        </w:rPr>
        <w:t xml:space="preserve">o di Stoccaggio di Modulazione </w:t>
      </w:r>
      <w:r w:rsidRPr="008C3D2C">
        <w:rPr>
          <w:i/>
        </w:rPr>
        <w:t xml:space="preserve">che per il Servizio di Stoccaggio Minerario </w:t>
      </w:r>
    </w:p>
    <w:p w:rsidR="00A16116" w:rsidRPr="00EF47F5" w:rsidRDefault="00A16116" w:rsidP="00A16116">
      <w:pPr>
        <w:pStyle w:val="Corpotesto"/>
      </w:pPr>
    </w:p>
    <w:p w:rsidR="00A16116" w:rsidRDefault="00A16116" w:rsidP="00A16116">
      <w:pPr>
        <w:pStyle w:val="Corpotesto"/>
      </w:pPr>
      <w:r w:rsidRPr="008C3D2C">
        <w:t>Nel caso in cui l’U</w:t>
      </w:r>
      <w:r>
        <w:t>tente</w:t>
      </w:r>
      <w:r w:rsidRPr="008C3D2C">
        <w:t xml:space="preserve"> k-esimo abbia capacità conferite sia per il Servizio di Stoccaggio Minerario che per il Servizio di Modulazione</w:t>
      </w:r>
      <w:r>
        <w:t>,</w:t>
      </w:r>
      <w:r w:rsidRPr="008C3D2C">
        <w:t xml:space="preserve"> </w:t>
      </w:r>
      <w:r>
        <w:t>Edison Stoccaggio S.p.A</w:t>
      </w:r>
      <w:r w:rsidRPr="008C3D2C">
        <w:t xml:space="preserve"> provvederà al calcolo di giacenze distinte, </w:t>
      </w:r>
      <w:r w:rsidRPr="008C3D2C">
        <w:lastRenderedPageBreak/>
        <w:t>secondo la formula di cui al precedente</w:t>
      </w:r>
      <w:r>
        <w:t xml:space="preserve"> paragrafo 8</w:t>
      </w:r>
      <w:r w:rsidRPr="008C3D2C">
        <w:t>.</w:t>
      </w:r>
      <w:r>
        <w:t>2</w:t>
      </w:r>
      <w:r w:rsidRPr="008C3D2C">
        <w:t>.</w:t>
      </w:r>
      <w:r>
        <w:t>1</w:t>
      </w:r>
      <w:r w:rsidRPr="008C3D2C">
        <w:t>.1</w:t>
      </w:r>
      <w:r>
        <w:t xml:space="preserve">. </w:t>
      </w:r>
      <w:r w:rsidRPr="00EF47F5">
        <w:t>La variazione di giacenza relativa al Servizio di Stoccaggio Minerario (</w:t>
      </w:r>
      <w:r w:rsidRPr="008C3D2C">
        <w:rPr>
          <w:rFonts w:ascii="Symbol" w:hAnsi="Symbol"/>
        </w:rPr>
        <w:t></w:t>
      </w:r>
      <w:proofErr w:type="spellStart"/>
      <w:r w:rsidRPr="008C3D2C">
        <w:t>G</w:t>
      </w:r>
      <w:r w:rsidRPr="008C3D2C">
        <w:rPr>
          <w:vertAlign w:val="subscript"/>
        </w:rPr>
        <w:t>SM</w:t>
      </w:r>
      <w:r>
        <w:rPr>
          <w:vertAlign w:val="subscript"/>
        </w:rPr>
        <w:t>in</w:t>
      </w:r>
      <w:proofErr w:type="spellEnd"/>
      <w:r w:rsidRPr="00EF47F5">
        <w:t>) e la conseguente giacenza relativa al Servizio di Modulazione sono disciplinate secondo quanto di seguito previsto.</w:t>
      </w:r>
      <w:r>
        <w:t xml:space="preserve"> </w:t>
      </w:r>
    </w:p>
    <w:p w:rsidR="00A16116" w:rsidRPr="008C3D2C" w:rsidRDefault="00A16116" w:rsidP="00A16116">
      <w:pPr>
        <w:pStyle w:val="Corpotesto"/>
      </w:pPr>
    </w:p>
    <w:p w:rsidR="00A16116" w:rsidRPr="00102B92" w:rsidRDefault="00A16116" w:rsidP="00A16116">
      <w:pPr>
        <w:pStyle w:val="Corpotesto"/>
      </w:pPr>
      <w:r w:rsidRPr="00102B92">
        <w:t>Iniezione</w:t>
      </w:r>
    </w:p>
    <w:p w:rsidR="00A16116" w:rsidRPr="008C3D2C" w:rsidRDefault="00A16116" w:rsidP="00A16116">
      <w:pPr>
        <w:pStyle w:val="Corpotesto"/>
        <w:rPr>
          <w:b/>
        </w:rPr>
      </w:pPr>
    </w:p>
    <w:p w:rsidR="00A16116" w:rsidRDefault="00A16116" w:rsidP="00A16116">
      <w:pPr>
        <w:pStyle w:val="Corpotesto"/>
      </w:pPr>
      <w:r w:rsidRPr="008C3D2C">
        <w:rPr>
          <w:rFonts w:ascii="Symbol" w:hAnsi="Symbol"/>
        </w:rPr>
        <w:t></w:t>
      </w:r>
      <w:proofErr w:type="spellStart"/>
      <w:r w:rsidRPr="008C3D2C">
        <w:t>G</w:t>
      </w:r>
      <w:r w:rsidRPr="008C3D2C">
        <w:rPr>
          <w:vertAlign w:val="subscript"/>
        </w:rPr>
        <w:t>SM</w:t>
      </w:r>
      <w:r>
        <w:rPr>
          <w:vertAlign w:val="subscript"/>
        </w:rPr>
        <w:t>in</w:t>
      </w:r>
      <w:proofErr w:type="spellEnd"/>
      <w:r w:rsidRPr="008C3D2C">
        <w:t xml:space="preserve"> = </w:t>
      </w:r>
      <w:proofErr w:type="spellStart"/>
      <w:r w:rsidRPr="008C3D2C">
        <w:t>CI</w:t>
      </w:r>
      <w:r w:rsidRPr="008C3D2C">
        <w:rPr>
          <w:vertAlign w:val="subscript"/>
        </w:rPr>
        <w:t>k,M</w:t>
      </w:r>
      <w:r>
        <w:rPr>
          <w:vertAlign w:val="subscript"/>
        </w:rPr>
        <w:t>in</w:t>
      </w:r>
      <w:proofErr w:type="spellEnd"/>
      <w:r w:rsidRPr="008C3D2C">
        <w:rPr>
          <w:vertAlign w:val="subscript"/>
        </w:rPr>
        <w:t xml:space="preserve"> </w:t>
      </w:r>
      <w:r w:rsidRPr="008C3D2C">
        <w:t xml:space="preserve">nel caso in cui il termine </w:t>
      </w:r>
      <w:proofErr w:type="spellStart"/>
      <w:r w:rsidRPr="008C3D2C">
        <w:t>S</w:t>
      </w:r>
      <w:r w:rsidRPr="008C3D2C">
        <w:rPr>
          <w:vertAlign w:val="subscript"/>
        </w:rPr>
        <w:t>k</w:t>
      </w:r>
      <w:proofErr w:type="spellEnd"/>
      <w:r w:rsidRPr="008C3D2C">
        <w:t xml:space="preserve"> (di cui al presente paragrafo </w:t>
      </w:r>
      <w:r>
        <w:t>8</w:t>
      </w:r>
      <w:r w:rsidRPr="008C3D2C">
        <w:t>.</w:t>
      </w:r>
      <w:r>
        <w:t>2</w:t>
      </w:r>
      <w:r w:rsidRPr="008C3D2C">
        <w:t>.</w:t>
      </w:r>
      <w:r>
        <w:t>1</w:t>
      </w:r>
      <w:r w:rsidRPr="008C3D2C">
        <w:t>) evidenzi</w:t>
      </w:r>
      <w:r>
        <w:t xml:space="preserve"> </w:t>
      </w:r>
      <w:r w:rsidRPr="008C3D2C">
        <w:t xml:space="preserve">un’Iniezione superiore a </w:t>
      </w:r>
      <w:proofErr w:type="spellStart"/>
      <w:r w:rsidRPr="008C3D2C">
        <w:t>CI</w:t>
      </w:r>
      <w:r w:rsidRPr="008C3D2C">
        <w:rPr>
          <w:vertAlign w:val="subscript"/>
        </w:rPr>
        <w:t>k,M</w:t>
      </w:r>
      <w:r>
        <w:rPr>
          <w:vertAlign w:val="subscript"/>
        </w:rPr>
        <w:t>in</w:t>
      </w:r>
      <w:proofErr w:type="spellEnd"/>
      <w:r w:rsidRPr="008C3D2C">
        <w:t xml:space="preserve">; in tal caso la differenza tra </w:t>
      </w:r>
      <w:proofErr w:type="spellStart"/>
      <w:r w:rsidRPr="008C3D2C">
        <w:t>Sk</w:t>
      </w:r>
      <w:proofErr w:type="spellEnd"/>
      <w:r w:rsidRPr="008C3D2C">
        <w:t xml:space="preserve"> e </w:t>
      </w:r>
      <w:proofErr w:type="spellStart"/>
      <w:r w:rsidRPr="008C3D2C">
        <w:t>CI</w:t>
      </w:r>
      <w:r w:rsidRPr="008C3D2C">
        <w:rPr>
          <w:vertAlign w:val="subscript"/>
        </w:rPr>
        <w:t>k,M</w:t>
      </w:r>
      <w:r>
        <w:rPr>
          <w:vertAlign w:val="subscript"/>
        </w:rPr>
        <w:t>in</w:t>
      </w:r>
      <w:proofErr w:type="spellEnd"/>
      <w:r w:rsidRPr="008C3D2C">
        <w:t xml:space="preserve"> sarà allocata al</w:t>
      </w:r>
      <w:r>
        <w:t xml:space="preserve"> </w:t>
      </w:r>
      <w:r w:rsidRPr="008C3D2C">
        <w:t>Servizio di Modulazione;</w:t>
      </w:r>
    </w:p>
    <w:p w:rsidR="00A16116" w:rsidRPr="008C3D2C" w:rsidRDefault="00A16116" w:rsidP="00A16116">
      <w:pPr>
        <w:pStyle w:val="Corpotesto"/>
      </w:pPr>
    </w:p>
    <w:p w:rsidR="00A16116" w:rsidRDefault="00A16116" w:rsidP="00A16116">
      <w:pPr>
        <w:pStyle w:val="Corpotesto"/>
      </w:pPr>
      <w:r w:rsidRPr="008C3D2C">
        <w:rPr>
          <w:rFonts w:ascii="Symbol" w:hAnsi="Symbol"/>
        </w:rPr>
        <w:t></w:t>
      </w:r>
      <w:proofErr w:type="spellStart"/>
      <w:r w:rsidRPr="008C3D2C">
        <w:t>G</w:t>
      </w:r>
      <w:r w:rsidRPr="008C3D2C">
        <w:rPr>
          <w:vertAlign w:val="subscript"/>
        </w:rPr>
        <w:t>SM</w:t>
      </w:r>
      <w:r>
        <w:rPr>
          <w:vertAlign w:val="subscript"/>
        </w:rPr>
        <w:t>in</w:t>
      </w:r>
      <w:proofErr w:type="spellEnd"/>
      <w:r w:rsidRPr="008C3D2C">
        <w:t xml:space="preserve"> = </w:t>
      </w:r>
      <w:proofErr w:type="spellStart"/>
      <w:r w:rsidRPr="008C3D2C">
        <w:t>S</w:t>
      </w:r>
      <w:r w:rsidRPr="00656A45">
        <w:rPr>
          <w:vertAlign w:val="subscript"/>
        </w:rPr>
        <w:t>k</w:t>
      </w:r>
      <w:proofErr w:type="spellEnd"/>
      <w:r w:rsidRPr="00656A45">
        <w:rPr>
          <w:vertAlign w:val="subscript"/>
        </w:rPr>
        <w:t xml:space="preserve"> </w:t>
      </w:r>
      <w:r w:rsidRPr="008C3D2C">
        <w:t xml:space="preserve">nel caso il termine </w:t>
      </w:r>
      <w:proofErr w:type="spellStart"/>
      <w:r w:rsidRPr="008C3D2C">
        <w:t>S</w:t>
      </w:r>
      <w:r w:rsidRPr="00656A45">
        <w:rPr>
          <w:vertAlign w:val="subscript"/>
        </w:rPr>
        <w:t>k</w:t>
      </w:r>
      <w:proofErr w:type="spellEnd"/>
      <w:r w:rsidRPr="008C3D2C">
        <w:t xml:space="preserve"> (di cui al presente paragrafo </w:t>
      </w:r>
      <w:r>
        <w:t>8</w:t>
      </w:r>
      <w:r w:rsidRPr="008C3D2C">
        <w:t>.</w:t>
      </w:r>
      <w:r>
        <w:t>2</w:t>
      </w:r>
      <w:r w:rsidRPr="008C3D2C">
        <w:t>.</w:t>
      </w:r>
      <w:r>
        <w:t>1</w:t>
      </w:r>
      <w:r w:rsidRPr="008C3D2C">
        <w:t>) evidenzi un’Iniezione</w:t>
      </w:r>
      <w:r>
        <w:t xml:space="preserve"> </w:t>
      </w:r>
      <w:r w:rsidRPr="008C3D2C">
        <w:t xml:space="preserve">inferiore a </w:t>
      </w:r>
      <w:proofErr w:type="spellStart"/>
      <w:r w:rsidRPr="008C3D2C">
        <w:t>CI</w:t>
      </w:r>
      <w:r w:rsidRPr="008C3D2C">
        <w:rPr>
          <w:vertAlign w:val="subscript"/>
        </w:rPr>
        <w:t>k,M</w:t>
      </w:r>
      <w:r>
        <w:rPr>
          <w:vertAlign w:val="subscript"/>
        </w:rPr>
        <w:t>in</w:t>
      </w:r>
      <w:proofErr w:type="spellEnd"/>
      <w:r w:rsidRPr="008C3D2C">
        <w:t>;</w:t>
      </w:r>
    </w:p>
    <w:p w:rsidR="00A16116" w:rsidRPr="008C3D2C" w:rsidRDefault="00A16116" w:rsidP="00A16116">
      <w:pPr>
        <w:pStyle w:val="Corpotesto"/>
      </w:pPr>
    </w:p>
    <w:p w:rsidR="00A16116" w:rsidRDefault="00A16116" w:rsidP="00A16116">
      <w:pPr>
        <w:pStyle w:val="Corpotesto"/>
      </w:pPr>
      <w:r w:rsidRPr="008C3D2C">
        <w:rPr>
          <w:rFonts w:ascii="Symbol" w:hAnsi="Symbol"/>
        </w:rPr>
        <w:t></w:t>
      </w:r>
      <w:proofErr w:type="spellStart"/>
      <w:r w:rsidRPr="008C3D2C">
        <w:t>G</w:t>
      </w:r>
      <w:r w:rsidRPr="008C3D2C">
        <w:rPr>
          <w:vertAlign w:val="subscript"/>
        </w:rPr>
        <w:t>SM</w:t>
      </w:r>
      <w:r>
        <w:rPr>
          <w:vertAlign w:val="subscript"/>
        </w:rPr>
        <w:t>in</w:t>
      </w:r>
      <w:proofErr w:type="spellEnd"/>
      <w:r w:rsidRPr="008C3D2C">
        <w:t xml:space="preserve"> sarà pari a zero nel caso di raggiungimento dello Spazio conferito per il Servizio</w:t>
      </w:r>
      <w:r>
        <w:t xml:space="preserve"> </w:t>
      </w:r>
      <w:r w:rsidRPr="008C3D2C">
        <w:t xml:space="preserve">stesso </w:t>
      </w:r>
    </w:p>
    <w:p w:rsidR="00A16116" w:rsidRPr="008C3D2C" w:rsidRDefault="00A16116" w:rsidP="00A16116">
      <w:pPr>
        <w:pStyle w:val="Corpotesto"/>
      </w:pPr>
    </w:p>
    <w:p w:rsidR="00A16116" w:rsidRPr="00102B92" w:rsidRDefault="00A16116" w:rsidP="00A16116">
      <w:pPr>
        <w:pStyle w:val="Corpotesto"/>
      </w:pPr>
      <w:r w:rsidRPr="00102B92">
        <w:t>Erogazione</w:t>
      </w:r>
    </w:p>
    <w:p w:rsidR="00A16116" w:rsidRPr="008C3D2C" w:rsidRDefault="00A16116" w:rsidP="00A16116">
      <w:pPr>
        <w:pStyle w:val="Corpotesto"/>
        <w:rPr>
          <w:b/>
        </w:rPr>
      </w:pPr>
    </w:p>
    <w:p w:rsidR="00A16116" w:rsidRDefault="00A16116" w:rsidP="00A16116">
      <w:pPr>
        <w:pStyle w:val="Corpotesto"/>
      </w:pPr>
      <w:r w:rsidRPr="008C3D2C">
        <w:rPr>
          <w:rFonts w:ascii="Symbol" w:hAnsi="Symbol"/>
        </w:rPr>
        <w:t></w:t>
      </w:r>
      <w:proofErr w:type="spellStart"/>
      <w:r w:rsidRPr="008C3D2C">
        <w:t>G</w:t>
      </w:r>
      <w:r w:rsidRPr="008C3D2C">
        <w:rPr>
          <w:vertAlign w:val="subscript"/>
        </w:rPr>
        <w:t>SM</w:t>
      </w:r>
      <w:r>
        <w:rPr>
          <w:vertAlign w:val="subscript"/>
        </w:rPr>
        <w:t>in</w:t>
      </w:r>
      <w:proofErr w:type="spellEnd"/>
      <w:r w:rsidRPr="008C3D2C">
        <w:t xml:space="preserve"> = CE</w:t>
      </w:r>
      <w:r w:rsidRPr="00656A45">
        <w:rPr>
          <w:vertAlign w:val="subscript"/>
        </w:rPr>
        <w:t xml:space="preserve"> </w:t>
      </w:r>
      <w:proofErr w:type="spellStart"/>
      <w:r w:rsidRPr="008C3D2C">
        <w:rPr>
          <w:vertAlign w:val="subscript"/>
        </w:rPr>
        <w:t>k,M</w:t>
      </w:r>
      <w:r>
        <w:rPr>
          <w:vertAlign w:val="subscript"/>
        </w:rPr>
        <w:t>in</w:t>
      </w:r>
      <w:proofErr w:type="spellEnd"/>
      <w:r w:rsidRPr="008C3D2C">
        <w:t xml:space="preserve"> nel caso in cui il termine </w:t>
      </w:r>
      <w:proofErr w:type="spellStart"/>
      <w:r w:rsidRPr="008C3D2C">
        <w:t>S</w:t>
      </w:r>
      <w:r w:rsidRPr="00656A45">
        <w:rPr>
          <w:vertAlign w:val="subscript"/>
        </w:rPr>
        <w:t>k</w:t>
      </w:r>
      <w:proofErr w:type="spellEnd"/>
      <w:r w:rsidRPr="008C3D2C">
        <w:t xml:space="preserve"> (di cui al presente paragrafo </w:t>
      </w:r>
      <w:r>
        <w:t>8</w:t>
      </w:r>
      <w:r w:rsidRPr="008C3D2C">
        <w:t>.</w:t>
      </w:r>
      <w:r>
        <w:t>2</w:t>
      </w:r>
      <w:r w:rsidRPr="008C3D2C">
        <w:t>.</w:t>
      </w:r>
      <w:r>
        <w:t>1</w:t>
      </w:r>
      <w:r w:rsidRPr="008C3D2C">
        <w:t>) evidenzi</w:t>
      </w:r>
      <w:r>
        <w:t xml:space="preserve"> </w:t>
      </w:r>
      <w:r w:rsidRPr="008C3D2C">
        <w:t>un’Erogazione superiore a CE</w:t>
      </w:r>
      <w:r w:rsidRPr="00656A45">
        <w:rPr>
          <w:vertAlign w:val="subscript"/>
        </w:rPr>
        <w:t xml:space="preserve"> </w:t>
      </w:r>
      <w:proofErr w:type="spellStart"/>
      <w:r w:rsidRPr="008C3D2C">
        <w:rPr>
          <w:vertAlign w:val="subscript"/>
        </w:rPr>
        <w:t>k,M</w:t>
      </w:r>
      <w:r>
        <w:rPr>
          <w:vertAlign w:val="subscript"/>
        </w:rPr>
        <w:t>in</w:t>
      </w:r>
      <w:proofErr w:type="spellEnd"/>
      <w:r w:rsidRPr="008C3D2C">
        <w:t xml:space="preserve">; in tal caso la differenza tra </w:t>
      </w:r>
      <w:proofErr w:type="spellStart"/>
      <w:r w:rsidRPr="008C3D2C">
        <w:t>S</w:t>
      </w:r>
      <w:r w:rsidRPr="00656A45">
        <w:rPr>
          <w:vertAlign w:val="subscript"/>
        </w:rPr>
        <w:t>k</w:t>
      </w:r>
      <w:proofErr w:type="spellEnd"/>
      <w:r w:rsidRPr="008C3D2C">
        <w:t xml:space="preserve"> e CE</w:t>
      </w:r>
      <w:r w:rsidRPr="00656A45">
        <w:rPr>
          <w:vertAlign w:val="subscript"/>
        </w:rPr>
        <w:t xml:space="preserve"> </w:t>
      </w:r>
      <w:proofErr w:type="spellStart"/>
      <w:r w:rsidRPr="008C3D2C">
        <w:rPr>
          <w:vertAlign w:val="subscript"/>
        </w:rPr>
        <w:t>k,M</w:t>
      </w:r>
      <w:r>
        <w:rPr>
          <w:vertAlign w:val="subscript"/>
        </w:rPr>
        <w:t>in</w:t>
      </w:r>
      <w:proofErr w:type="spellEnd"/>
      <w:r w:rsidRPr="008C3D2C">
        <w:t xml:space="preserve"> sarà allocata al</w:t>
      </w:r>
      <w:r>
        <w:t xml:space="preserve"> </w:t>
      </w:r>
      <w:r w:rsidRPr="008C3D2C">
        <w:t>Servizio di Modulazione;</w:t>
      </w:r>
    </w:p>
    <w:p w:rsidR="00A16116" w:rsidRPr="008C3D2C" w:rsidRDefault="00A16116" w:rsidP="00A16116">
      <w:pPr>
        <w:pStyle w:val="Corpotesto"/>
      </w:pPr>
    </w:p>
    <w:p w:rsidR="00A16116" w:rsidRPr="008C3D2C" w:rsidRDefault="00A16116" w:rsidP="00A16116">
      <w:pPr>
        <w:pStyle w:val="Corpotesto"/>
      </w:pPr>
      <w:r w:rsidRPr="008C3D2C">
        <w:rPr>
          <w:rFonts w:ascii="Symbol" w:hAnsi="Symbol"/>
        </w:rPr>
        <w:t></w:t>
      </w:r>
      <w:proofErr w:type="spellStart"/>
      <w:r w:rsidRPr="008C3D2C">
        <w:t>G</w:t>
      </w:r>
      <w:r w:rsidRPr="008C3D2C">
        <w:rPr>
          <w:vertAlign w:val="subscript"/>
        </w:rPr>
        <w:t>SM</w:t>
      </w:r>
      <w:r>
        <w:rPr>
          <w:vertAlign w:val="subscript"/>
        </w:rPr>
        <w:t>in</w:t>
      </w:r>
      <w:proofErr w:type="spellEnd"/>
      <w:r w:rsidRPr="008C3D2C">
        <w:t xml:space="preserve"> = </w:t>
      </w:r>
      <w:proofErr w:type="spellStart"/>
      <w:r w:rsidRPr="008C3D2C">
        <w:t>S</w:t>
      </w:r>
      <w:r w:rsidRPr="00656A45">
        <w:rPr>
          <w:vertAlign w:val="subscript"/>
        </w:rPr>
        <w:t>k</w:t>
      </w:r>
      <w:proofErr w:type="spellEnd"/>
      <w:r w:rsidRPr="008C3D2C">
        <w:t xml:space="preserve"> nel caso il termine </w:t>
      </w:r>
      <w:proofErr w:type="spellStart"/>
      <w:r w:rsidRPr="008C3D2C">
        <w:t>S</w:t>
      </w:r>
      <w:r w:rsidRPr="00656A45">
        <w:rPr>
          <w:vertAlign w:val="subscript"/>
        </w:rPr>
        <w:t>k</w:t>
      </w:r>
      <w:proofErr w:type="spellEnd"/>
      <w:r w:rsidRPr="008C3D2C">
        <w:t xml:space="preserve"> (di cui al presente paragrafo </w:t>
      </w:r>
      <w:r>
        <w:t>8.2</w:t>
      </w:r>
      <w:r w:rsidRPr="008C3D2C">
        <w:t>.</w:t>
      </w:r>
      <w:r>
        <w:t>1</w:t>
      </w:r>
      <w:r w:rsidRPr="008C3D2C">
        <w:t>) evidenzi</w:t>
      </w:r>
    </w:p>
    <w:p w:rsidR="00A16116" w:rsidRPr="008C3D2C" w:rsidRDefault="00A16116" w:rsidP="00A16116">
      <w:pPr>
        <w:pStyle w:val="Corpotesto"/>
      </w:pPr>
      <w:r w:rsidRPr="008C3D2C">
        <w:t>un’Erogazione inferiore a CE</w:t>
      </w:r>
      <w:r w:rsidRPr="00656A45">
        <w:rPr>
          <w:vertAlign w:val="subscript"/>
        </w:rPr>
        <w:t xml:space="preserve"> </w:t>
      </w:r>
      <w:proofErr w:type="spellStart"/>
      <w:r w:rsidRPr="008C3D2C">
        <w:rPr>
          <w:vertAlign w:val="subscript"/>
        </w:rPr>
        <w:t>k,M</w:t>
      </w:r>
      <w:r>
        <w:rPr>
          <w:vertAlign w:val="subscript"/>
        </w:rPr>
        <w:t>in</w:t>
      </w:r>
      <w:proofErr w:type="spellEnd"/>
      <w:r w:rsidRPr="008C3D2C">
        <w:t>;</w:t>
      </w:r>
    </w:p>
    <w:p w:rsidR="00A16116" w:rsidRDefault="00A16116" w:rsidP="00A16116">
      <w:pPr>
        <w:pStyle w:val="Corpotesto"/>
        <w:rPr>
          <w:rFonts w:cs="Arial"/>
        </w:rPr>
      </w:pPr>
    </w:p>
    <w:p w:rsidR="00A16116" w:rsidRDefault="00A16116" w:rsidP="00A16116">
      <w:pPr>
        <w:pStyle w:val="Corpotesto"/>
      </w:pPr>
      <w:r w:rsidRPr="008C3D2C">
        <w:rPr>
          <w:rFonts w:ascii="Symbol" w:hAnsi="Symbol"/>
        </w:rPr>
        <w:t></w:t>
      </w:r>
      <w:proofErr w:type="spellStart"/>
      <w:r w:rsidRPr="008C3D2C">
        <w:t>G</w:t>
      </w:r>
      <w:r w:rsidRPr="008C3D2C">
        <w:rPr>
          <w:vertAlign w:val="subscript"/>
        </w:rPr>
        <w:t>SM</w:t>
      </w:r>
      <w:r>
        <w:rPr>
          <w:vertAlign w:val="subscript"/>
        </w:rPr>
        <w:t>in</w:t>
      </w:r>
      <w:proofErr w:type="spellEnd"/>
      <w:r w:rsidRPr="008C3D2C">
        <w:t xml:space="preserve"> sarà pari a zero nel caso di esaurimento delle quantità di Gas disponibili per il</w:t>
      </w:r>
      <w:r>
        <w:t xml:space="preserve"> </w:t>
      </w:r>
      <w:r w:rsidRPr="008C3D2C">
        <w:t xml:space="preserve">Servizio stesso; in tal caso il termine </w:t>
      </w:r>
      <w:proofErr w:type="spellStart"/>
      <w:r w:rsidRPr="008C3D2C">
        <w:t>S</w:t>
      </w:r>
      <w:r w:rsidRPr="00656A45">
        <w:rPr>
          <w:vertAlign w:val="subscript"/>
        </w:rPr>
        <w:t>k</w:t>
      </w:r>
      <w:proofErr w:type="spellEnd"/>
      <w:r w:rsidRPr="008C3D2C">
        <w:t xml:space="preserve"> sarà interamente allocato al Servizio di</w:t>
      </w:r>
      <w:r>
        <w:t xml:space="preserve"> </w:t>
      </w:r>
      <w:r w:rsidRPr="008C3D2C">
        <w:t>Modulazione.</w:t>
      </w:r>
    </w:p>
    <w:p w:rsidR="00A16116" w:rsidRPr="008C3D2C" w:rsidRDefault="00A16116" w:rsidP="00A16116">
      <w:pPr>
        <w:pStyle w:val="Corpotesto"/>
      </w:pPr>
    </w:p>
    <w:p w:rsidR="00A16116" w:rsidRPr="008C3D2C" w:rsidRDefault="00A16116" w:rsidP="00A16116">
      <w:pPr>
        <w:pStyle w:val="Corpotesto"/>
      </w:pPr>
      <w:r w:rsidRPr="008C3D2C">
        <w:t>Resta inteso che la CE</w:t>
      </w:r>
      <w:r w:rsidRPr="00656A45">
        <w:rPr>
          <w:vertAlign w:val="subscript"/>
        </w:rPr>
        <w:t xml:space="preserve"> </w:t>
      </w:r>
      <w:proofErr w:type="spellStart"/>
      <w:r w:rsidRPr="008C3D2C">
        <w:rPr>
          <w:vertAlign w:val="subscript"/>
        </w:rPr>
        <w:t>k,M</w:t>
      </w:r>
      <w:r>
        <w:rPr>
          <w:vertAlign w:val="subscript"/>
        </w:rPr>
        <w:t>in</w:t>
      </w:r>
      <w:proofErr w:type="spellEnd"/>
      <w:r w:rsidRPr="008C3D2C">
        <w:t xml:space="preserve"> è considerata comprensiva anche della capacità conferita per </w:t>
      </w:r>
      <w:r w:rsidRPr="008C3D2C">
        <w:rPr>
          <w:i/>
        </w:rPr>
        <w:t>back</w:t>
      </w:r>
      <w:r>
        <w:rPr>
          <w:i/>
        </w:rPr>
        <w:t xml:space="preserve"> </w:t>
      </w:r>
      <w:r w:rsidRPr="008C3D2C">
        <w:rPr>
          <w:i/>
        </w:rPr>
        <w:t xml:space="preserve">up </w:t>
      </w:r>
      <w:r w:rsidRPr="008C3D2C">
        <w:t>solo nei casi previsti dall’articolo 2, comma 2, lettera d) del Decreto del MSE del 9 maggio</w:t>
      </w:r>
      <w:r>
        <w:t xml:space="preserve"> </w:t>
      </w:r>
      <w:r w:rsidRPr="008C3D2C">
        <w:t>2001 e qualora supportata da adeguata certificazione da parte dell’U</w:t>
      </w:r>
      <w:r>
        <w:t>tente</w:t>
      </w:r>
      <w:r w:rsidRPr="008C3D2C">
        <w:t>, fino ad</w:t>
      </w:r>
      <w:r>
        <w:t xml:space="preserve"> </w:t>
      </w:r>
      <w:r w:rsidRPr="008C3D2C">
        <w:t>esaurimento del Gas disponibile per il Servizio di Stoccaggio Minerario.</w:t>
      </w:r>
    </w:p>
    <w:p w:rsidR="00A16116" w:rsidRDefault="00A16116" w:rsidP="00A16116">
      <w:pPr>
        <w:pStyle w:val="Corpotesto"/>
      </w:pPr>
      <w:r w:rsidRPr="008C3D2C">
        <w:t>Si precisa inoltre che, nel caso di cui al presente paragrafo, i consumi di Iniezione e di Erogazione sono attribuiti – ai fini della determinazione delle giacenze</w:t>
      </w:r>
      <w:r>
        <w:t xml:space="preserve"> </w:t>
      </w:r>
      <w:r w:rsidRPr="008C3D2C">
        <w:t>– proporzionalmente al Servizio di Stoccaggio Minerario e al Servizio di Modulazione a seguito dell’applicazione della ripartizione</w:t>
      </w:r>
      <w:r>
        <w:t xml:space="preserve"> </w:t>
      </w:r>
      <w:r w:rsidRPr="008C3D2C">
        <w:t>precedente in relazione alle quantità di Gas allocate all’U</w:t>
      </w:r>
      <w:r>
        <w:t>tente</w:t>
      </w:r>
      <w:r w:rsidRPr="008C3D2C">
        <w:t xml:space="preserve"> in un dato Giorno Gas</w:t>
      </w:r>
      <w:r>
        <w:t xml:space="preserve"> G</w:t>
      </w:r>
      <w:r w:rsidRPr="008C3D2C">
        <w:t>.</w:t>
      </w:r>
    </w:p>
    <w:p w:rsidR="00A16116" w:rsidRDefault="00A16116" w:rsidP="00A16116">
      <w:pPr>
        <w:pStyle w:val="Corpotesto"/>
      </w:pPr>
    </w:p>
    <w:p w:rsidR="00A16116" w:rsidRDefault="00A16116" w:rsidP="00A16116">
      <w:pPr>
        <w:pStyle w:val="Corpotesto"/>
      </w:pPr>
    </w:p>
    <w:p w:rsidR="00A16116" w:rsidRPr="003D23B6" w:rsidRDefault="00A16116" w:rsidP="00A16116">
      <w:pPr>
        <w:pStyle w:val="Corpotesto"/>
        <w:ind w:left="360"/>
        <w:rPr>
          <w:i/>
        </w:rPr>
      </w:pPr>
      <w:r>
        <w:rPr>
          <w:i/>
        </w:rPr>
        <w:t>8</w:t>
      </w:r>
      <w:r w:rsidRPr="003D23B6">
        <w:rPr>
          <w:i/>
        </w:rPr>
        <w:t>.</w:t>
      </w:r>
      <w:r>
        <w:rPr>
          <w:i/>
        </w:rPr>
        <w:t>2</w:t>
      </w:r>
      <w:r w:rsidRPr="003D23B6">
        <w:rPr>
          <w:i/>
        </w:rPr>
        <w:t>.</w:t>
      </w:r>
      <w:r>
        <w:rPr>
          <w:i/>
        </w:rPr>
        <w:t>1</w:t>
      </w:r>
      <w:r w:rsidRPr="003D23B6">
        <w:rPr>
          <w:i/>
        </w:rPr>
        <w:t>.</w:t>
      </w:r>
      <w:r>
        <w:rPr>
          <w:i/>
        </w:rPr>
        <w:t>3</w:t>
      </w:r>
      <w:r w:rsidRPr="003D23B6">
        <w:rPr>
          <w:i/>
        </w:rPr>
        <w:t xml:space="preserve"> Contabilità del Gas per l’U</w:t>
      </w:r>
      <w:r>
        <w:rPr>
          <w:i/>
        </w:rPr>
        <w:t>tente</w:t>
      </w:r>
      <w:r w:rsidRPr="003D23B6">
        <w:rPr>
          <w:i/>
        </w:rPr>
        <w:t xml:space="preserve"> cui è stata conferita Capacità di Stoccaggio per il</w:t>
      </w:r>
      <w:r>
        <w:rPr>
          <w:i/>
        </w:rPr>
        <w:t xml:space="preserve"> </w:t>
      </w:r>
      <w:r w:rsidRPr="003D23B6">
        <w:rPr>
          <w:i/>
        </w:rPr>
        <w:t>Servizio di Bilanciamento utenti</w:t>
      </w:r>
    </w:p>
    <w:p w:rsidR="00A16116" w:rsidRDefault="00A16116" w:rsidP="00A16116">
      <w:pPr>
        <w:autoSpaceDE w:val="0"/>
        <w:autoSpaceDN w:val="0"/>
        <w:adjustRightInd w:val="0"/>
        <w:rPr>
          <w:rFonts w:ascii="Arial-ItalicMT" w:hAnsi="Arial-ItalicMT" w:cs="Arial-ItalicMT"/>
          <w:i/>
          <w:iCs/>
          <w:sz w:val="22"/>
          <w:szCs w:val="22"/>
        </w:rPr>
      </w:pPr>
    </w:p>
    <w:p w:rsidR="00A16116" w:rsidRDefault="00A16116" w:rsidP="00A16116">
      <w:pPr>
        <w:pStyle w:val="Corpotesto"/>
      </w:pPr>
      <w:r w:rsidRPr="008C3D2C">
        <w:t xml:space="preserve">Nel </w:t>
      </w:r>
      <w:r w:rsidRPr="003D23B6">
        <w:t>caso in cui all’U</w:t>
      </w:r>
      <w:r w:rsidRPr="008C3D2C">
        <w:t>tente</w:t>
      </w:r>
      <w:r w:rsidRPr="003D23B6">
        <w:t xml:space="preserve"> sia stata conferita capacità per il Servizio di Bilanciamento utenti e per</w:t>
      </w:r>
      <w:r w:rsidRPr="008C3D2C">
        <w:t xml:space="preserve"> </w:t>
      </w:r>
      <w:r w:rsidRPr="003D23B6">
        <w:t>uno o più Servizi di Stoccaggio di cui al presente Codice</w:t>
      </w:r>
      <w:r>
        <w:t xml:space="preserve"> (Minerario e/o Modulazione)</w:t>
      </w:r>
      <w:r w:rsidRPr="003D23B6">
        <w:t>, al Servizio di Bilanciamento utenti sarà allocata la quota di</w:t>
      </w:r>
      <w:r w:rsidRPr="008C3D2C">
        <w:t xml:space="preserve"> allocazione residuale rispetto alle quantità allocate per i Servizi di Stoccaggio Minerario e</w:t>
      </w:r>
      <w:r>
        <w:t xml:space="preserve"> </w:t>
      </w:r>
      <w:r w:rsidRPr="008C3D2C">
        <w:t>Modulazione e</w:t>
      </w:r>
      <w:r>
        <w:t xml:space="preserve"> </w:t>
      </w:r>
      <w:r w:rsidRPr="008C3D2C">
        <w:t>fino alle capacità disponibili per questi Servizi</w:t>
      </w:r>
      <w:r>
        <w:t xml:space="preserve"> </w:t>
      </w:r>
    </w:p>
    <w:p w:rsidR="00A16116" w:rsidRDefault="00A16116" w:rsidP="00A16116">
      <w:pPr>
        <w:pStyle w:val="Corpotesto"/>
      </w:pPr>
    </w:p>
    <w:p w:rsidR="00A16116" w:rsidRDefault="00A16116" w:rsidP="00A16116">
      <w:pPr>
        <w:pStyle w:val="Corpotesto"/>
        <w:ind w:left="360"/>
        <w:rPr>
          <w:i/>
        </w:rPr>
      </w:pPr>
      <w:r w:rsidRPr="00A07D1D">
        <w:rPr>
          <w:i/>
        </w:rPr>
        <w:t>8.2.1.4 Gas di stoccaggio in garanzia a favore del Responsabile del Bilanciamento</w:t>
      </w:r>
    </w:p>
    <w:p w:rsidR="00A16116" w:rsidRDefault="00A16116" w:rsidP="00A16116">
      <w:pPr>
        <w:pStyle w:val="Corpotesto"/>
        <w:ind w:left="360"/>
        <w:rPr>
          <w:i/>
        </w:rPr>
      </w:pPr>
    </w:p>
    <w:p w:rsidR="00A16116" w:rsidRDefault="00A16116" w:rsidP="00A16116">
      <w:pPr>
        <w:pStyle w:val="Corpotesto"/>
        <w:ind w:left="360"/>
      </w:pPr>
      <w:r>
        <w:t>A partire dall’Anno Termico 2013-2014 e q</w:t>
      </w:r>
      <w:r w:rsidRPr="00A07D1D">
        <w:t>ualora un Utente Abilitato esercitasse la facoltà di cui all</w:t>
      </w:r>
      <w:r>
        <w:t>’</w:t>
      </w:r>
      <w:r w:rsidRPr="00A07D1D">
        <w:t xml:space="preserve">articolo 11.6, Delibera ARG/gas/45/11, il Responsabile del Bilanciamento e </w:t>
      </w:r>
      <w:r>
        <w:t>l’Impresa di Stoccaggio</w:t>
      </w:r>
      <w:r w:rsidRPr="00A07D1D">
        <w:t xml:space="preserve"> si coordineranno al fine di verificare l</w:t>
      </w:r>
      <w:r>
        <w:t>’</w:t>
      </w:r>
      <w:r w:rsidRPr="00A07D1D">
        <w:t>effettiva giacenza in stoccaggio del quantitativo di Gas proposto dall</w:t>
      </w:r>
      <w:r>
        <w:t>’</w:t>
      </w:r>
      <w:r w:rsidRPr="00A07D1D">
        <w:t>Utente Abilitato in garanzia</w:t>
      </w:r>
      <w:r>
        <w:t xml:space="preserve"> (</w:t>
      </w:r>
      <w:r w:rsidRPr="00015A7F">
        <w:t xml:space="preserve"> </w:t>
      </w:r>
      <w:r w:rsidRPr="00A07D1D">
        <w:t xml:space="preserve">c.d. Gas </w:t>
      </w:r>
      <w:r>
        <w:t>in</w:t>
      </w:r>
      <w:r w:rsidRPr="00A07D1D">
        <w:t xml:space="preserve"> Garanzia).</w:t>
      </w:r>
    </w:p>
    <w:p w:rsidR="00A16116" w:rsidRPr="00A07D1D" w:rsidRDefault="00A16116" w:rsidP="00A16116">
      <w:pPr>
        <w:pStyle w:val="Corpotesto"/>
        <w:ind w:left="360"/>
      </w:pPr>
    </w:p>
    <w:p w:rsidR="00A16116" w:rsidRDefault="00A16116" w:rsidP="00A16116">
      <w:pPr>
        <w:pStyle w:val="Corpotesto"/>
        <w:ind w:left="360"/>
        <w:rPr>
          <w:bCs w:val="0"/>
          <w:iCs w:val="0"/>
        </w:rPr>
      </w:pPr>
      <w:r w:rsidRPr="00596418">
        <w:t>L</w:t>
      </w:r>
      <w:r>
        <w:t>’</w:t>
      </w:r>
      <w:r w:rsidRPr="00A07D1D">
        <w:t>Utente Abilitato che abbia richiesto a</w:t>
      </w:r>
      <w:r>
        <w:t>l Responsabile del Bilanciamento</w:t>
      </w:r>
      <w:r w:rsidRPr="00A07D1D">
        <w:t xml:space="preserve"> </w:t>
      </w:r>
      <w:r>
        <w:t>l’esercizio della facoltà di cui all’articolo 11.6</w:t>
      </w:r>
      <w:r w:rsidRPr="00A07D1D">
        <w:t xml:space="preserve"> Delibera ARG/gas/45/11</w:t>
      </w:r>
      <w:r>
        <w:t xml:space="preserve"> o </w:t>
      </w:r>
      <w:r w:rsidRPr="00A07D1D">
        <w:t>l</w:t>
      </w:r>
      <w:r>
        <w:t>’</w:t>
      </w:r>
      <w:r w:rsidRPr="00A07D1D">
        <w:t xml:space="preserve">abilitazione alle funzionalità </w:t>
      </w:r>
      <w:r>
        <w:t xml:space="preserve">di </w:t>
      </w:r>
      <w:r w:rsidRPr="00A07D1D">
        <w:t xml:space="preserve">variazione in aumento o diminuzione del Gas </w:t>
      </w:r>
      <w:r>
        <w:t>in</w:t>
      </w:r>
      <w:r w:rsidRPr="00A07D1D">
        <w:t xml:space="preserve"> Garanzia </w:t>
      </w:r>
      <w:r>
        <w:rPr>
          <w:bCs w:val="0"/>
          <w:iCs w:val="0"/>
        </w:rPr>
        <w:t>come previsto dal Codice di Rete della Impresa Maggiore di Trasporto</w:t>
      </w:r>
      <w:r w:rsidRPr="00A07D1D">
        <w:t xml:space="preserve"> e abbia richiesto</w:t>
      </w:r>
      <w:r>
        <w:t xml:space="preserve"> l’istituzione di un quantitativo di Gas in Garanzia </w:t>
      </w:r>
      <w:r w:rsidRPr="00A07D1D">
        <w:t xml:space="preserve">costituito da una quota del proprio gas </w:t>
      </w:r>
      <w:r>
        <w:t xml:space="preserve">sito nel Sistema di Stoccaggio o </w:t>
      </w:r>
      <w:r w:rsidRPr="00A07D1D">
        <w:t xml:space="preserve"> un aumento </w:t>
      </w:r>
      <w:r>
        <w:t xml:space="preserve">o una diminuzione </w:t>
      </w:r>
      <w:r w:rsidRPr="00A07D1D">
        <w:t>d</w:t>
      </w:r>
      <w:r>
        <w:t xml:space="preserve">i detto quantitativo </w:t>
      </w:r>
      <w:r w:rsidRPr="00A07D1D">
        <w:t xml:space="preserve">è tenuto a presentare a </w:t>
      </w:r>
      <w:r>
        <w:t xml:space="preserve">Edison Stoccaggio S.p.A., anticipandola via fax, </w:t>
      </w:r>
      <w:r w:rsidRPr="00A07D1D">
        <w:t xml:space="preserve"> la comunicazione</w:t>
      </w:r>
      <w:r>
        <w:t xml:space="preserve"> della richiesta o della variazione</w:t>
      </w:r>
      <w:r w:rsidRPr="00A07D1D">
        <w:t xml:space="preserve"> </w:t>
      </w:r>
      <w:r>
        <w:rPr>
          <w:bCs w:val="0"/>
          <w:iCs w:val="0"/>
        </w:rPr>
        <w:t xml:space="preserve">nel  </w:t>
      </w:r>
      <w:r w:rsidRPr="00A07D1D">
        <w:t xml:space="preserve">rispetto </w:t>
      </w:r>
      <w:r>
        <w:t>del</w:t>
      </w:r>
      <w:r w:rsidRPr="00A07D1D">
        <w:t>le</w:t>
      </w:r>
      <w:r>
        <w:t xml:space="preserve"> tempistiche</w:t>
      </w:r>
      <w:r w:rsidRPr="00A07D1D">
        <w:t xml:space="preserve"> </w:t>
      </w:r>
      <w:r>
        <w:t xml:space="preserve">previste allo scopo </w:t>
      </w:r>
      <w:r>
        <w:rPr>
          <w:bCs w:val="0"/>
          <w:iCs w:val="0"/>
        </w:rPr>
        <w:t>dal Codice di Rete della Impresa Maggiore di Trasporto per la valutazione di accettabilità dell’Impresa di Stoccaggio.</w:t>
      </w:r>
    </w:p>
    <w:p w:rsidR="00A16116" w:rsidRPr="00A07D1D" w:rsidRDefault="00A16116" w:rsidP="00A16116">
      <w:pPr>
        <w:pStyle w:val="Corpotesto"/>
        <w:ind w:left="360"/>
      </w:pPr>
    </w:p>
    <w:p w:rsidR="00A16116" w:rsidRDefault="00A16116" w:rsidP="00A16116">
      <w:pPr>
        <w:pStyle w:val="Corpotesto"/>
        <w:ind w:left="360"/>
      </w:pPr>
      <w:r w:rsidRPr="00596418">
        <w:t>Edison Stoccaggio S.p.A</w:t>
      </w:r>
      <w:r>
        <w:t xml:space="preserve"> procederà alla valutazione di ogni richiesta in merito al Gas in Garanzia procedendo alla verifica che</w:t>
      </w:r>
      <w:r w:rsidRPr="00CF13C6">
        <w:t xml:space="preserve"> </w:t>
      </w:r>
      <w:r>
        <w:t>non sussistano</w:t>
      </w:r>
      <w:r w:rsidRPr="00A07D1D">
        <w:t xml:space="preserve"> situazioni di oggettiva criticità a pregiudizio</w:t>
      </w:r>
      <w:r>
        <w:t>:</w:t>
      </w:r>
    </w:p>
    <w:p w:rsidR="00A16116" w:rsidRDefault="00A16116" w:rsidP="00A16116">
      <w:pPr>
        <w:pStyle w:val="Corpotesto"/>
        <w:numPr>
          <w:ilvl w:val="0"/>
          <w:numId w:val="21"/>
        </w:numPr>
      </w:pPr>
      <w:r w:rsidRPr="00A07D1D">
        <w:t xml:space="preserve">della corretta funzionalità del Sistema di Stoccaggio, derivante dal vincolo del quantitativo di Gas </w:t>
      </w:r>
      <w:r>
        <w:t>in</w:t>
      </w:r>
      <w:r w:rsidRPr="00A07D1D">
        <w:t xml:space="preserve"> Garanzia</w:t>
      </w:r>
      <w:r>
        <w:t xml:space="preserve"> oggetto della richiesta</w:t>
      </w:r>
    </w:p>
    <w:p w:rsidR="00A16116" w:rsidRDefault="00A16116" w:rsidP="00A16116">
      <w:pPr>
        <w:pStyle w:val="Corpotesto"/>
        <w:numPr>
          <w:ilvl w:val="0"/>
          <w:numId w:val="21"/>
        </w:numPr>
      </w:pPr>
      <w:r>
        <w:t xml:space="preserve">della congruenza tra l’ammontare degli </w:t>
      </w:r>
      <w:r w:rsidRPr="00352B48">
        <w:t>importi fatturati</w:t>
      </w:r>
      <w:r>
        <w:t xml:space="preserve"> per i servizi di stoccaggio conferiti all’Utente e non incassati alla data della richiesta (fatture attive, passive, eventuali note credito, comprensive di IVA)  e il </w:t>
      </w:r>
      <w:r w:rsidRPr="00352B48">
        <w:t xml:space="preserve"> valore della garanzia rilasciata a </w:t>
      </w:r>
      <w:r w:rsidRPr="00352B48">
        <w:lastRenderedPageBreak/>
        <w:t>copertura degli obblighi derivanti dai contratti</w:t>
      </w:r>
      <w:r>
        <w:t xml:space="preserve"> dei servizi di stoccaggio conferiti.</w:t>
      </w:r>
    </w:p>
    <w:p w:rsidR="00A16116" w:rsidRDefault="00A16116" w:rsidP="00A16116">
      <w:pPr>
        <w:pStyle w:val="Corpotesto"/>
      </w:pPr>
    </w:p>
    <w:p w:rsidR="00A16116" w:rsidRDefault="00A16116" w:rsidP="00A16116">
      <w:pPr>
        <w:pStyle w:val="Corpotesto"/>
        <w:ind w:left="360"/>
      </w:pPr>
      <w:r>
        <w:t>Qualora si verifichi una delle condizioni sopra indicate, Edison Stoccaggio S.p.A. comunicherà entro un giorno lavorativo al Responsabile del Bilanciamento e all’Utente la inaccettabilità della Richiesta indicando l’eventuale valore di Gas in Garanzia che potrà essere ritenuto accettabile a seguito di nuova richiesta.</w:t>
      </w:r>
    </w:p>
    <w:p w:rsidR="00A16116" w:rsidRDefault="00A16116" w:rsidP="00A16116">
      <w:pPr>
        <w:pStyle w:val="Corpotesto"/>
        <w:ind w:left="360"/>
      </w:pPr>
    </w:p>
    <w:p w:rsidR="00A16116" w:rsidRPr="009C7539" w:rsidRDefault="00A16116" w:rsidP="00A16116">
      <w:pPr>
        <w:pStyle w:val="Corpotesto"/>
        <w:ind w:left="360"/>
      </w:pPr>
      <w:r>
        <w:t xml:space="preserve">A tale proposito, nel caso di criticità derivanti dalla incongruenza tra importi fatturati e garanzie rilasciate a copertura degli obblighi contrattuali, Edison Stoccaggio S.p.A. considererà indisponibile per ogni richiesta di ogni Utente la quota di gas eventualmente presente in stoccaggio, valorizzata  ad </w:t>
      </w:r>
      <w:r w:rsidRPr="009C7539">
        <w:rPr>
          <w:rFonts w:cs="Arial"/>
        </w:rPr>
        <w:t xml:space="preserve">un prezzo di riferimento pari al 100% dell’ultimo valore della </w:t>
      </w:r>
      <w:r w:rsidRPr="009C7539">
        <w:rPr>
          <w:bCs w:val="0"/>
          <w:iCs w:val="0"/>
        </w:rPr>
        <w:t>componente di cui all’articolo 6 del TIVG approvato con la deliberazione ARG/GAS 64/09 e successive modifiche e integrazioni.</w:t>
      </w:r>
      <w:r w:rsidRPr="009C7539">
        <w:t>, necessaria per  annullare il differenziale tra le garanzie rilasciate e gli  importi fatturati e non incassati così come stabilito dall’art.16.4.4.</w:t>
      </w:r>
    </w:p>
    <w:p w:rsidR="00A16116" w:rsidRDefault="00A16116" w:rsidP="00A16116">
      <w:pPr>
        <w:pStyle w:val="Corpotesto"/>
        <w:ind w:left="360"/>
      </w:pPr>
      <w:r w:rsidRPr="009C7539">
        <w:t>Nel caso invece di criticità rivenienti dalla corretta</w:t>
      </w:r>
      <w:r>
        <w:t xml:space="preserve"> funzionalità del Sistema di Stoccaggio Edison Stoccaggio considererà indisponibile, per ogni richiesta di ogni Utente,  la quota di gas ottenuta  applicando al valore complessivamente ritenuto indisponibile un criterio pro-quota rispetto a tutte le richieste ricevute.</w:t>
      </w:r>
    </w:p>
    <w:p w:rsidR="00A16116" w:rsidRPr="00A07D1D" w:rsidRDefault="00A16116" w:rsidP="00A16116">
      <w:pPr>
        <w:pStyle w:val="Corpotesto"/>
        <w:ind w:left="360"/>
      </w:pPr>
    </w:p>
    <w:p w:rsidR="00A16116" w:rsidRDefault="00A16116" w:rsidP="00A16116">
      <w:pPr>
        <w:pStyle w:val="Corpotesto"/>
        <w:ind w:left="360"/>
      </w:pPr>
      <w:r w:rsidRPr="00A07D1D">
        <w:t xml:space="preserve">Il quantitativo di Gas </w:t>
      </w:r>
      <w:r>
        <w:t>in</w:t>
      </w:r>
      <w:r w:rsidRPr="00A07D1D">
        <w:t xml:space="preserve"> Garanzia</w:t>
      </w:r>
      <w:r>
        <w:t xml:space="preserve"> accettato dalla Impresa di Stoccaggio</w:t>
      </w:r>
      <w:r w:rsidRPr="00A07D1D">
        <w:t>,</w:t>
      </w:r>
      <w:r>
        <w:t xml:space="preserve"> è</w:t>
      </w:r>
      <w:r w:rsidRPr="00A07D1D">
        <w:t xml:space="preserve"> dichiarato vincolat</w:t>
      </w:r>
      <w:r w:rsidRPr="00596418">
        <w:t>o e indisponibile da parte dell</w:t>
      </w:r>
      <w:r>
        <w:t>’</w:t>
      </w:r>
      <w:r w:rsidRPr="00A07D1D">
        <w:t xml:space="preserve">Utente, non potrà essere utilizzato dallo stesso a far data dalla </w:t>
      </w:r>
      <w:r>
        <w:t>accettazione</w:t>
      </w:r>
      <w:r w:rsidRPr="00A07D1D">
        <w:t xml:space="preserve"> della proposta di </w:t>
      </w:r>
      <w:r>
        <w:t>A</w:t>
      </w:r>
      <w:r w:rsidRPr="00A07D1D">
        <w:t xml:space="preserve">ccordo </w:t>
      </w:r>
      <w:r>
        <w:rPr>
          <w:bCs w:val="0"/>
          <w:iCs w:val="0"/>
        </w:rPr>
        <w:t>come previsto dal Codice di Rete della Impresa Maggiore di Trasporto</w:t>
      </w:r>
      <w:r w:rsidRPr="00A07D1D">
        <w:t xml:space="preserve"> e per tutto il periodo di durata dell</w:t>
      </w:r>
      <w:r>
        <w:t>’A</w:t>
      </w:r>
      <w:r w:rsidRPr="00A07D1D">
        <w:t xml:space="preserve">ccordo. Il quantitativo di Gas </w:t>
      </w:r>
      <w:r>
        <w:t>in</w:t>
      </w:r>
      <w:r w:rsidRPr="00A07D1D">
        <w:t xml:space="preserve"> Garanzia, inoltre, a far data dal giorno lavorativo successivo alla sottoscrizione del suddetto </w:t>
      </w:r>
      <w:r>
        <w:t>A</w:t>
      </w:r>
      <w:r w:rsidRPr="00A07D1D">
        <w:t xml:space="preserve">ccordo, </w:t>
      </w:r>
      <w:r>
        <w:t>sa</w:t>
      </w:r>
      <w:r w:rsidRPr="00A07D1D">
        <w:t xml:space="preserve">rà detratto dal calcolo dei quantitativi massimi per le offerte di vendita di cui al successivo paragrafo </w:t>
      </w:r>
      <w:r>
        <w:t>8</w:t>
      </w:r>
      <w:r w:rsidRPr="00A07D1D">
        <w:t>.</w:t>
      </w:r>
      <w:r>
        <w:t>8</w:t>
      </w:r>
      <w:r w:rsidRPr="00A07D1D">
        <w:t xml:space="preserve"> e sarà considerato nell</w:t>
      </w:r>
      <w:r>
        <w:t>’</w:t>
      </w:r>
      <w:r w:rsidRPr="00A07D1D">
        <w:t>ambito dei processi di programmazione e riformulazione giornaliera di cui a</w:t>
      </w:r>
      <w:r>
        <w:t>l</w:t>
      </w:r>
      <w:r w:rsidRPr="00A07D1D">
        <w:t xml:space="preserve"> precedent</w:t>
      </w:r>
      <w:r>
        <w:t>e</w:t>
      </w:r>
      <w:r w:rsidRPr="00A07D1D">
        <w:t xml:space="preserve"> paragraf</w:t>
      </w:r>
      <w:r>
        <w:t>o</w:t>
      </w:r>
      <w:r w:rsidRPr="00A07D1D">
        <w:t xml:space="preserve"> 6.6, previa verifica che il quantitativo richiesto sia nelle disponibilità dell</w:t>
      </w:r>
      <w:r>
        <w:t>’U</w:t>
      </w:r>
      <w:r w:rsidRPr="00A07D1D">
        <w:t>tente Abilitato.</w:t>
      </w:r>
    </w:p>
    <w:p w:rsidR="00A16116" w:rsidRDefault="00A16116" w:rsidP="00A16116">
      <w:pPr>
        <w:pStyle w:val="Corpotesto"/>
        <w:ind w:left="360"/>
      </w:pPr>
    </w:p>
    <w:p w:rsidR="00A16116" w:rsidRDefault="00A16116" w:rsidP="00A16116">
      <w:pPr>
        <w:pStyle w:val="Corpotesto"/>
        <w:ind w:left="360"/>
      </w:pPr>
      <w:r>
        <w:t xml:space="preserve">In ogni caso Edison Stoccaggio S.p.A. segnalerà al Responsabile del Bilanciamento gli Utenti soggetti alla comunicazione di cui all’art.16.4.4 e i relativi quantitativi di gas resisi indisponibili e non utilizzabili come Gas in Garanzia. Inoltre Edison Stoccaggio S.p.A. segnalerà al Responsabile del Bilanciamento gli Utenti che non abbiano provveduto al rinnovo del Contratto di Stoccaggio per almeno un servizio e ad ogni Utente il </w:t>
      </w:r>
      <w:r>
        <w:lastRenderedPageBreak/>
        <w:t>quantitativo di Gas  a Garanzia che non potrà essere utilizzato oltre le scadenze previste dall’art. 8.5 del presente Codice.</w:t>
      </w:r>
    </w:p>
    <w:p w:rsidR="00A16116" w:rsidRDefault="00A16116" w:rsidP="00A16116">
      <w:pPr>
        <w:pStyle w:val="Corpotesto"/>
        <w:ind w:left="360"/>
      </w:pPr>
      <w:r>
        <w:t>Parimenti l’Utente si obbliga a non stipulare alcun accordo e/o a risolvere accordi in essere con terze parti relativi al Gas  a Garanzia che abbiano durata superiore alla validità dei Contratti in essere con la Impresa di Stoccaggio.</w:t>
      </w:r>
    </w:p>
    <w:p w:rsidR="00A16116" w:rsidRPr="00A07D1D" w:rsidRDefault="00A16116" w:rsidP="00A16116">
      <w:pPr>
        <w:pStyle w:val="Corpotesto"/>
        <w:ind w:left="360"/>
      </w:pPr>
    </w:p>
    <w:p w:rsidR="00A16116" w:rsidRDefault="00A16116" w:rsidP="00A16116">
      <w:pPr>
        <w:pStyle w:val="Corpotesto"/>
        <w:ind w:left="360"/>
      </w:pPr>
      <w:r w:rsidRPr="00596418">
        <w:t>Edison Stoccaggio S.p.A</w:t>
      </w:r>
      <w:r>
        <w:t>.</w:t>
      </w:r>
      <w:r w:rsidRPr="00A07D1D">
        <w:t xml:space="preserve"> includerà</w:t>
      </w:r>
      <w:r>
        <w:t xml:space="preserve"> tutti i quantitativi di gas costituiti in garanzia a favore del Responsabile del Bilanciamento o della stessa impresa di stoccaggio  </w:t>
      </w:r>
      <w:r w:rsidRPr="00A07D1D">
        <w:t xml:space="preserve"> </w:t>
      </w:r>
      <w:r>
        <w:t xml:space="preserve">gas </w:t>
      </w:r>
      <w:r w:rsidRPr="00A07D1D">
        <w:t xml:space="preserve">nel calcolo delle </w:t>
      </w:r>
      <w:r w:rsidRPr="00596418">
        <w:t>disponibilità di Gas dell</w:t>
      </w:r>
      <w:r>
        <w:t>’Utente</w:t>
      </w:r>
      <w:r w:rsidRPr="00A07D1D">
        <w:t xml:space="preserve"> per:</w:t>
      </w:r>
    </w:p>
    <w:p w:rsidR="00A16116" w:rsidRPr="00A07D1D" w:rsidRDefault="00A16116" w:rsidP="00A16116">
      <w:pPr>
        <w:pStyle w:val="Corpotesto"/>
        <w:ind w:left="360"/>
      </w:pPr>
    </w:p>
    <w:p w:rsidR="00A16116" w:rsidRPr="00A07D1D" w:rsidRDefault="00A16116" w:rsidP="00A16116">
      <w:pPr>
        <w:pStyle w:val="Corpotesto"/>
        <w:ind w:left="709"/>
      </w:pPr>
      <w:r w:rsidRPr="00A07D1D">
        <w:t>i) la verifica del rispetto dei profili di Iniezione e di Erogazione e la conseguente applicazione dei corrispettivi di bilanciamento;</w:t>
      </w:r>
    </w:p>
    <w:p w:rsidR="00A16116" w:rsidRDefault="00A16116" w:rsidP="00A16116">
      <w:pPr>
        <w:pStyle w:val="Corpotesto"/>
        <w:ind w:left="360" w:firstLine="349"/>
      </w:pPr>
      <w:r w:rsidRPr="00A07D1D">
        <w:t>ii) il calcolo delle Capacità di Iniezione ed Erogazione dispon</w:t>
      </w:r>
      <w:r>
        <w:t>i</w:t>
      </w:r>
      <w:r w:rsidRPr="00A07D1D">
        <w:t>bili;</w:t>
      </w:r>
    </w:p>
    <w:p w:rsidR="00A16116" w:rsidRDefault="00A16116" w:rsidP="00A16116">
      <w:pPr>
        <w:pStyle w:val="Corpotesto"/>
        <w:ind w:left="360" w:firstLine="349"/>
      </w:pPr>
      <w:r>
        <w:t>iii) l’applicazione del corrispettivo pari a 2xCVS nei casi previsti.</w:t>
      </w:r>
    </w:p>
    <w:p w:rsidR="00A16116" w:rsidRDefault="00A16116" w:rsidP="00A16116">
      <w:pPr>
        <w:pStyle w:val="Corpotesto"/>
        <w:ind w:left="709"/>
      </w:pPr>
      <w:proofErr w:type="spellStart"/>
      <w:r>
        <w:t>iiii</w:t>
      </w:r>
      <w:proofErr w:type="spellEnd"/>
      <w:r>
        <w:t>) l’applicazione di quanto previsto all’art 15.14 della Deliberazione 119/05 e dal paragrafo 5.4 del presente Codice di Stoccaggio.</w:t>
      </w:r>
    </w:p>
    <w:p w:rsidR="00A16116" w:rsidRDefault="00A16116" w:rsidP="00A16116">
      <w:pPr>
        <w:pStyle w:val="Corpotesto"/>
        <w:ind w:left="709"/>
      </w:pPr>
    </w:p>
    <w:p w:rsidR="00A16116" w:rsidRDefault="00A16116" w:rsidP="00A16116">
      <w:pPr>
        <w:pStyle w:val="Corpotesto"/>
        <w:ind w:left="360"/>
      </w:pPr>
    </w:p>
    <w:p w:rsidR="00A16116" w:rsidRDefault="00A16116" w:rsidP="00A16116">
      <w:pPr>
        <w:pStyle w:val="Corpotesto"/>
        <w:ind w:left="360"/>
      </w:pPr>
      <w:r>
        <w:t>Nelle comunicazioni di cui al presente paragrafo, l’Utente Abilitato è tenuto altresì a indicare i quantitativi di Gas in Garanzia distinti per tipologia di Servizio di Stoccaggio.</w:t>
      </w:r>
    </w:p>
    <w:p w:rsidR="00A16116" w:rsidRDefault="00A16116" w:rsidP="00A16116">
      <w:pPr>
        <w:pStyle w:val="Titolo2"/>
      </w:pPr>
      <w:bookmarkStart w:id="6" w:name="_Toc363031696"/>
      <w:r w:rsidRPr="00BC59A7">
        <w:t>PROCEDURA PER L’ATTRIBUZIONE DE</w:t>
      </w:r>
      <w:r>
        <w:t>gli</w:t>
      </w:r>
      <w:r w:rsidRPr="00BC59A7">
        <w:t xml:space="preserve"> </w:t>
      </w:r>
      <w:r>
        <w:t>auto</w:t>
      </w:r>
      <w:r w:rsidRPr="00BC59A7">
        <w:t xml:space="preserve">CONSUMI </w:t>
      </w:r>
      <w:r>
        <w:rPr>
          <w:caps w:val="0"/>
        </w:rPr>
        <w:t>NELLA FASE</w:t>
      </w:r>
      <w:r>
        <w:t xml:space="preserve"> D</w:t>
      </w:r>
      <w:r w:rsidRPr="00BC59A7">
        <w:t>I INIEZIONE E DI EROGAZIONE</w:t>
      </w:r>
      <w:bookmarkEnd w:id="6"/>
      <w:r w:rsidRPr="00BC59A7">
        <w:t xml:space="preserve"> </w:t>
      </w:r>
    </w:p>
    <w:p w:rsidR="00A16116" w:rsidRPr="00DC2C3B" w:rsidRDefault="00A16116" w:rsidP="00A16116">
      <w:pPr>
        <w:pStyle w:val="Titolo3"/>
        <w:ind w:left="360"/>
      </w:pPr>
      <w:bookmarkStart w:id="7" w:name="_Toc363031697"/>
      <w:r w:rsidRPr="00DC2C3B">
        <w:t>Premessa</w:t>
      </w:r>
      <w:bookmarkEnd w:id="7"/>
    </w:p>
    <w:p w:rsidR="00A16116" w:rsidRDefault="00A16116" w:rsidP="00A16116">
      <w:pPr>
        <w:autoSpaceDE w:val="0"/>
        <w:autoSpaceDN w:val="0"/>
        <w:adjustRightInd w:val="0"/>
        <w:jc w:val="both"/>
        <w:rPr>
          <w:rFonts w:ascii="Arial" w:hAnsi="Arial" w:cs="Arial"/>
          <w:b/>
          <w:bCs/>
          <w:sz w:val="22"/>
          <w:szCs w:val="22"/>
        </w:rPr>
      </w:pPr>
    </w:p>
    <w:p w:rsidR="00A16116" w:rsidRDefault="00A16116" w:rsidP="00A16116">
      <w:pPr>
        <w:autoSpaceDE w:val="0"/>
        <w:autoSpaceDN w:val="0"/>
        <w:adjustRightInd w:val="0"/>
        <w:ind w:left="360" w:right="585"/>
        <w:jc w:val="both"/>
        <w:rPr>
          <w:rFonts w:ascii="Arial" w:hAnsi="Arial"/>
          <w:bCs/>
          <w:iCs/>
          <w:sz w:val="24"/>
        </w:rPr>
      </w:pPr>
      <w:r w:rsidRPr="009B208E">
        <w:rPr>
          <w:rFonts w:ascii="Arial" w:hAnsi="Arial"/>
          <w:bCs/>
          <w:iCs/>
          <w:sz w:val="24"/>
        </w:rPr>
        <w:t xml:space="preserve">I </w:t>
      </w:r>
      <w:r>
        <w:rPr>
          <w:rFonts w:ascii="Arial" w:hAnsi="Arial"/>
          <w:bCs/>
          <w:iCs/>
          <w:sz w:val="24"/>
        </w:rPr>
        <w:t xml:space="preserve">consumi di gas relativi agli </w:t>
      </w:r>
      <w:r w:rsidRPr="009B208E">
        <w:rPr>
          <w:rFonts w:ascii="Arial" w:hAnsi="Arial"/>
          <w:bCs/>
          <w:iCs/>
          <w:sz w:val="24"/>
        </w:rPr>
        <w:t xml:space="preserve">impianti di trattamento e degli usi interni di impianto </w:t>
      </w:r>
      <w:r w:rsidRPr="00102B92">
        <w:rPr>
          <w:rFonts w:ascii="Arial" w:hAnsi="Arial"/>
          <w:bCs/>
          <w:iCs/>
          <w:sz w:val="24"/>
        </w:rPr>
        <w:t>per ogni</w:t>
      </w:r>
      <w:r w:rsidRPr="009B208E">
        <w:rPr>
          <w:rFonts w:ascii="Arial" w:hAnsi="Arial"/>
          <w:bCs/>
          <w:iCs/>
          <w:sz w:val="24"/>
        </w:rPr>
        <w:t xml:space="preserve"> </w:t>
      </w:r>
      <w:r w:rsidRPr="0035526F">
        <w:rPr>
          <w:rFonts w:ascii="Arial" w:hAnsi="Arial"/>
          <w:bCs/>
          <w:iCs/>
          <w:sz w:val="24"/>
        </w:rPr>
        <w:t xml:space="preserve">Giorno Gas </w:t>
      </w:r>
      <w:r>
        <w:rPr>
          <w:rFonts w:ascii="Arial" w:hAnsi="Arial"/>
          <w:bCs/>
          <w:iCs/>
          <w:sz w:val="24"/>
        </w:rPr>
        <w:t xml:space="preserve">G (autoconsumi) </w:t>
      </w:r>
      <w:r w:rsidRPr="0035526F">
        <w:rPr>
          <w:rFonts w:ascii="Arial" w:hAnsi="Arial"/>
          <w:bCs/>
          <w:iCs/>
          <w:sz w:val="24"/>
        </w:rPr>
        <w:t>saranno</w:t>
      </w:r>
      <w:r>
        <w:rPr>
          <w:rFonts w:ascii="Arial" w:hAnsi="Arial"/>
          <w:bCs/>
          <w:iCs/>
          <w:sz w:val="24"/>
        </w:rPr>
        <w:t xml:space="preserve"> </w:t>
      </w:r>
      <w:r w:rsidRPr="0035526F">
        <w:rPr>
          <w:rFonts w:ascii="Arial" w:hAnsi="Arial"/>
          <w:bCs/>
          <w:iCs/>
          <w:sz w:val="24"/>
        </w:rPr>
        <w:t>complessivamente ripartiti tra tutti</w:t>
      </w:r>
      <w:r>
        <w:rPr>
          <w:rFonts w:ascii="Arial" w:hAnsi="Arial"/>
          <w:bCs/>
          <w:iCs/>
          <w:sz w:val="24"/>
        </w:rPr>
        <w:t xml:space="preserve"> </w:t>
      </w:r>
      <w:r w:rsidRPr="0035526F">
        <w:rPr>
          <w:rFonts w:ascii="Arial" w:hAnsi="Arial"/>
          <w:bCs/>
          <w:iCs/>
          <w:sz w:val="24"/>
        </w:rPr>
        <w:t>gli U</w:t>
      </w:r>
      <w:r>
        <w:rPr>
          <w:rFonts w:ascii="Arial" w:hAnsi="Arial"/>
          <w:bCs/>
          <w:iCs/>
          <w:sz w:val="24"/>
        </w:rPr>
        <w:t>tenti</w:t>
      </w:r>
      <w:r w:rsidRPr="0035526F">
        <w:rPr>
          <w:rFonts w:ascii="Arial" w:hAnsi="Arial"/>
          <w:bCs/>
          <w:iCs/>
          <w:sz w:val="24"/>
        </w:rPr>
        <w:t xml:space="preserve"> dei Servizi di Stoccaggio Minerario</w:t>
      </w:r>
      <w:r>
        <w:rPr>
          <w:rFonts w:ascii="Arial" w:hAnsi="Arial"/>
          <w:bCs/>
          <w:iCs/>
          <w:sz w:val="24"/>
        </w:rPr>
        <w:t>,</w:t>
      </w:r>
      <w:r w:rsidRPr="0035526F">
        <w:rPr>
          <w:rFonts w:ascii="Arial" w:hAnsi="Arial"/>
          <w:bCs/>
          <w:iCs/>
          <w:sz w:val="24"/>
        </w:rPr>
        <w:t xml:space="preserve"> Modulazione</w:t>
      </w:r>
      <w:r>
        <w:rPr>
          <w:rFonts w:ascii="Arial" w:hAnsi="Arial"/>
          <w:bCs/>
          <w:iCs/>
          <w:sz w:val="24"/>
        </w:rPr>
        <w:t xml:space="preserve"> e</w:t>
      </w:r>
      <w:r w:rsidRPr="0035526F">
        <w:rPr>
          <w:rFonts w:ascii="Arial" w:hAnsi="Arial"/>
          <w:bCs/>
          <w:iCs/>
          <w:sz w:val="24"/>
        </w:rPr>
        <w:t xml:space="preserve"> </w:t>
      </w:r>
      <w:r>
        <w:rPr>
          <w:rFonts w:ascii="Arial" w:hAnsi="Arial"/>
          <w:bCs/>
          <w:iCs/>
          <w:sz w:val="24"/>
        </w:rPr>
        <w:t xml:space="preserve">di Bilanciamento utenti </w:t>
      </w:r>
      <w:r w:rsidRPr="0035526F">
        <w:rPr>
          <w:rFonts w:ascii="Arial" w:hAnsi="Arial"/>
          <w:bCs/>
          <w:iCs/>
          <w:sz w:val="24"/>
        </w:rPr>
        <w:t>secondo quanto stabilito dalla</w:t>
      </w:r>
      <w:r>
        <w:rPr>
          <w:rFonts w:ascii="Arial" w:hAnsi="Arial"/>
          <w:bCs/>
          <w:iCs/>
          <w:sz w:val="24"/>
        </w:rPr>
        <w:t xml:space="preserve"> </w:t>
      </w:r>
      <w:r w:rsidRPr="0035526F">
        <w:rPr>
          <w:rFonts w:ascii="Arial" w:hAnsi="Arial"/>
          <w:bCs/>
          <w:iCs/>
          <w:sz w:val="24"/>
        </w:rPr>
        <w:t>presente procedura.</w:t>
      </w:r>
    </w:p>
    <w:p w:rsidR="00A16116" w:rsidRDefault="00A16116" w:rsidP="00A16116">
      <w:pPr>
        <w:autoSpaceDE w:val="0"/>
        <w:autoSpaceDN w:val="0"/>
        <w:adjustRightInd w:val="0"/>
        <w:ind w:left="360" w:right="585"/>
        <w:jc w:val="both"/>
        <w:rPr>
          <w:rFonts w:ascii="Arial" w:hAnsi="Arial"/>
          <w:bCs/>
          <w:iCs/>
          <w:sz w:val="24"/>
        </w:rPr>
      </w:pPr>
    </w:p>
    <w:p w:rsidR="00A16116" w:rsidRDefault="00A16116" w:rsidP="00A16116">
      <w:pPr>
        <w:autoSpaceDE w:val="0"/>
        <w:autoSpaceDN w:val="0"/>
        <w:adjustRightInd w:val="0"/>
        <w:ind w:left="360" w:right="585"/>
        <w:jc w:val="both"/>
        <w:rPr>
          <w:rFonts w:ascii="Arial" w:hAnsi="Arial"/>
          <w:bCs/>
          <w:iCs/>
          <w:sz w:val="24"/>
        </w:rPr>
      </w:pPr>
    </w:p>
    <w:p w:rsidR="00A16116" w:rsidRDefault="00A16116" w:rsidP="00A16116">
      <w:pPr>
        <w:autoSpaceDE w:val="0"/>
        <w:autoSpaceDN w:val="0"/>
        <w:adjustRightInd w:val="0"/>
        <w:ind w:left="360" w:right="585"/>
        <w:jc w:val="both"/>
        <w:rPr>
          <w:rFonts w:ascii="Arial" w:hAnsi="Arial"/>
          <w:bCs/>
          <w:iCs/>
          <w:sz w:val="24"/>
        </w:rPr>
      </w:pPr>
    </w:p>
    <w:p w:rsidR="00A16116" w:rsidRDefault="00A16116" w:rsidP="00A16116">
      <w:pPr>
        <w:autoSpaceDE w:val="0"/>
        <w:autoSpaceDN w:val="0"/>
        <w:adjustRightInd w:val="0"/>
        <w:ind w:left="360" w:right="585"/>
        <w:jc w:val="both"/>
        <w:rPr>
          <w:rFonts w:ascii="Arial" w:hAnsi="Arial"/>
          <w:bCs/>
          <w:iCs/>
          <w:sz w:val="24"/>
        </w:rPr>
      </w:pPr>
    </w:p>
    <w:p w:rsidR="00A16116" w:rsidRPr="00DC2C3B" w:rsidRDefault="00A16116" w:rsidP="00A16116">
      <w:pPr>
        <w:pStyle w:val="Titolo3"/>
        <w:ind w:left="360"/>
      </w:pPr>
      <w:bookmarkStart w:id="8" w:name="_Toc363031698"/>
      <w:r w:rsidRPr="00DC2C3B">
        <w:lastRenderedPageBreak/>
        <w:t>Ripartizione de</w:t>
      </w:r>
      <w:r>
        <w:t>gli auto</w:t>
      </w:r>
      <w:r w:rsidRPr="00DC2C3B">
        <w:t>consumi</w:t>
      </w:r>
      <w:bookmarkEnd w:id="8"/>
    </w:p>
    <w:p w:rsidR="00A16116" w:rsidRDefault="00A16116" w:rsidP="00A16116">
      <w:pPr>
        <w:autoSpaceDE w:val="0"/>
        <w:autoSpaceDN w:val="0"/>
        <w:adjustRightInd w:val="0"/>
        <w:ind w:left="360" w:right="585"/>
        <w:jc w:val="both"/>
        <w:rPr>
          <w:rFonts w:ascii="Arial" w:hAnsi="Arial"/>
          <w:bCs/>
          <w:iCs/>
          <w:sz w:val="24"/>
        </w:rPr>
      </w:pPr>
      <w:r>
        <w:rPr>
          <w:rFonts w:ascii="Arial" w:hAnsi="Arial"/>
          <w:bCs/>
          <w:iCs/>
          <w:sz w:val="24"/>
        </w:rPr>
        <w:t>Si definisce:</w:t>
      </w:r>
    </w:p>
    <w:p w:rsidR="00A16116" w:rsidRDefault="00A16116" w:rsidP="00A16116">
      <w:pPr>
        <w:autoSpaceDE w:val="0"/>
        <w:autoSpaceDN w:val="0"/>
        <w:adjustRightInd w:val="0"/>
        <w:ind w:left="360" w:right="585"/>
        <w:jc w:val="both"/>
        <w:rPr>
          <w:rFonts w:ascii="Arial" w:hAnsi="Arial"/>
          <w:bCs/>
          <w:iCs/>
          <w:sz w:val="24"/>
        </w:rPr>
      </w:pPr>
    </w:p>
    <w:p w:rsidR="00A16116" w:rsidRPr="009B208E" w:rsidRDefault="00A16116" w:rsidP="00A16116">
      <w:pPr>
        <w:autoSpaceDE w:val="0"/>
        <w:autoSpaceDN w:val="0"/>
        <w:adjustRightInd w:val="0"/>
        <w:ind w:left="360" w:right="585"/>
        <w:jc w:val="both"/>
        <w:rPr>
          <w:rFonts w:ascii="Arial" w:hAnsi="Arial"/>
          <w:bCs/>
          <w:iCs/>
          <w:sz w:val="24"/>
        </w:rPr>
      </w:pPr>
      <w:r w:rsidRPr="00365642">
        <w:rPr>
          <w:position w:val="-40"/>
        </w:rPr>
        <w:object w:dxaOrig="156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75pt" o:ole="">
            <v:imagedata r:id="rId6" o:title=""/>
          </v:shape>
          <o:OLEObject Type="Embed" ProgID="Equation.3" ShapeID="_x0000_i1025" DrawAspect="Content" ObjectID="_1457964731" r:id="rId7"/>
        </w:object>
      </w:r>
    </w:p>
    <w:p w:rsidR="00A16116" w:rsidRDefault="00A16116" w:rsidP="00A16116">
      <w:pPr>
        <w:autoSpaceDE w:val="0"/>
        <w:autoSpaceDN w:val="0"/>
        <w:adjustRightInd w:val="0"/>
        <w:ind w:left="360" w:right="585"/>
        <w:jc w:val="both"/>
        <w:rPr>
          <w:rFonts w:ascii="Arial" w:hAnsi="Arial"/>
          <w:bCs/>
          <w:iCs/>
          <w:sz w:val="24"/>
        </w:rPr>
      </w:pPr>
    </w:p>
    <w:p w:rsidR="00A16116" w:rsidRDefault="00A16116" w:rsidP="00A16116">
      <w:pPr>
        <w:autoSpaceDE w:val="0"/>
        <w:autoSpaceDN w:val="0"/>
        <w:adjustRightInd w:val="0"/>
        <w:ind w:left="360"/>
        <w:jc w:val="both"/>
        <w:rPr>
          <w:rFonts w:ascii="Arial" w:hAnsi="Arial" w:cs="Arial"/>
          <w:sz w:val="24"/>
          <w:szCs w:val="24"/>
        </w:rPr>
      </w:pPr>
      <w:r>
        <w:rPr>
          <w:rFonts w:ascii="Arial" w:hAnsi="Arial" w:cs="Arial"/>
          <w:sz w:val="24"/>
          <w:szCs w:val="24"/>
        </w:rPr>
        <w:t>Ove:</w:t>
      </w:r>
    </w:p>
    <w:p w:rsidR="00A16116" w:rsidRDefault="00A16116" w:rsidP="00A16116">
      <w:pPr>
        <w:autoSpaceDE w:val="0"/>
        <w:autoSpaceDN w:val="0"/>
        <w:adjustRightInd w:val="0"/>
        <w:ind w:left="360"/>
        <w:jc w:val="both"/>
        <w:rPr>
          <w:rFonts w:ascii="Arial" w:hAnsi="Arial" w:cs="Arial"/>
          <w:sz w:val="24"/>
          <w:szCs w:val="24"/>
        </w:rPr>
      </w:pPr>
    </w:p>
    <w:p w:rsidR="00A16116" w:rsidRDefault="00A16116" w:rsidP="00A16116">
      <w:pPr>
        <w:autoSpaceDE w:val="0"/>
        <w:autoSpaceDN w:val="0"/>
        <w:adjustRightInd w:val="0"/>
        <w:ind w:left="360" w:right="585"/>
        <w:jc w:val="both"/>
        <w:rPr>
          <w:rFonts w:ascii="Arial" w:hAnsi="Arial" w:cs="Arial"/>
          <w:sz w:val="24"/>
          <w:szCs w:val="24"/>
        </w:rPr>
      </w:pPr>
      <w:proofErr w:type="spellStart"/>
      <w:r>
        <w:rPr>
          <w:rFonts w:ascii="Arial" w:hAnsi="Arial" w:cs="Arial"/>
          <w:sz w:val="24"/>
          <w:szCs w:val="24"/>
        </w:rPr>
        <w:t>AC</w:t>
      </w:r>
      <w:r>
        <w:rPr>
          <w:rFonts w:ascii="Arial" w:hAnsi="Arial" w:cs="Arial"/>
          <w:sz w:val="24"/>
          <w:szCs w:val="24"/>
          <w:vertAlign w:val="subscript"/>
        </w:rPr>
        <w:t>i</w:t>
      </w:r>
      <w:proofErr w:type="spellEnd"/>
      <w:r>
        <w:rPr>
          <w:rFonts w:ascii="Arial" w:hAnsi="Arial" w:cs="Arial"/>
          <w:sz w:val="24"/>
          <w:szCs w:val="24"/>
        </w:rPr>
        <w:t xml:space="preserve"> = valore in GJ </w:t>
      </w:r>
      <w:r w:rsidRPr="00FD4C28">
        <w:rPr>
          <w:rFonts w:ascii="Arial" w:hAnsi="Arial" w:cs="Arial"/>
          <w:sz w:val="24"/>
          <w:szCs w:val="24"/>
        </w:rPr>
        <w:t xml:space="preserve">del Gas necessario al funzionamento degli impianti di trattamento e degli usi interni di impianto (autoconsumi) </w:t>
      </w:r>
      <w:r>
        <w:rPr>
          <w:rFonts w:ascii="Arial" w:hAnsi="Arial" w:cs="Arial"/>
          <w:sz w:val="24"/>
          <w:szCs w:val="24"/>
        </w:rPr>
        <w:t>consuntivato per il Giorno Gas G</w:t>
      </w:r>
      <w:r w:rsidRPr="00FD4C28">
        <w:rPr>
          <w:rFonts w:ascii="Arial" w:hAnsi="Arial" w:cs="Arial"/>
          <w:sz w:val="24"/>
          <w:szCs w:val="24"/>
        </w:rPr>
        <w:t xml:space="preserve"> rilevat</w:t>
      </w:r>
      <w:r>
        <w:rPr>
          <w:rFonts w:ascii="Arial" w:hAnsi="Arial" w:cs="Arial"/>
          <w:sz w:val="24"/>
          <w:szCs w:val="24"/>
        </w:rPr>
        <w:t>o</w:t>
      </w:r>
      <w:r w:rsidRPr="00FD4C28">
        <w:rPr>
          <w:rFonts w:ascii="Arial" w:hAnsi="Arial" w:cs="Arial"/>
          <w:sz w:val="24"/>
          <w:szCs w:val="24"/>
        </w:rPr>
        <w:t xml:space="preserve"> presso </w:t>
      </w:r>
      <w:r>
        <w:rPr>
          <w:rFonts w:ascii="Arial" w:hAnsi="Arial" w:cs="Arial"/>
          <w:sz w:val="24"/>
          <w:szCs w:val="24"/>
        </w:rPr>
        <w:t>l’i-esimo</w:t>
      </w:r>
      <w:r w:rsidRPr="00FD4C28">
        <w:rPr>
          <w:rFonts w:ascii="Arial" w:hAnsi="Arial" w:cs="Arial"/>
          <w:sz w:val="24"/>
          <w:szCs w:val="24"/>
        </w:rPr>
        <w:t xml:space="preserve"> sito di stoccaggio; ciascun valore è ottenuto dalla moltiplicazione del volume di gas </w:t>
      </w:r>
      <w:r>
        <w:rPr>
          <w:rFonts w:ascii="Arial" w:hAnsi="Arial" w:cs="Arial"/>
          <w:sz w:val="24"/>
          <w:szCs w:val="24"/>
        </w:rPr>
        <w:t>misurato</w:t>
      </w:r>
      <w:r w:rsidRPr="00FD4C28">
        <w:rPr>
          <w:rFonts w:ascii="Arial" w:hAnsi="Arial" w:cs="Arial"/>
          <w:sz w:val="24"/>
          <w:szCs w:val="24"/>
        </w:rPr>
        <w:t xml:space="preserve"> </w:t>
      </w:r>
      <w:r>
        <w:rPr>
          <w:rFonts w:ascii="Arial" w:hAnsi="Arial" w:cs="Arial"/>
          <w:sz w:val="24"/>
          <w:szCs w:val="24"/>
        </w:rPr>
        <w:t>per gli</w:t>
      </w:r>
      <w:r w:rsidRPr="00FD4C28">
        <w:rPr>
          <w:rFonts w:ascii="Arial" w:hAnsi="Arial" w:cs="Arial"/>
          <w:sz w:val="24"/>
          <w:szCs w:val="24"/>
        </w:rPr>
        <w:t xml:space="preserve"> autoconsumi per il PCS medio giornaliero corrispondente</w:t>
      </w:r>
      <w:r>
        <w:rPr>
          <w:rFonts w:ascii="Arial" w:hAnsi="Arial" w:cs="Arial"/>
          <w:sz w:val="24"/>
          <w:szCs w:val="24"/>
        </w:rPr>
        <w:t>.</w:t>
      </w:r>
    </w:p>
    <w:p w:rsidR="00A16116" w:rsidRDefault="00A16116" w:rsidP="00A16116">
      <w:pPr>
        <w:autoSpaceDE w:val="0"/>
        <w:autoSpaceDN w:val="0"/>
        <w:adjustRightInd w:val="0"/>
        <w:ind w:left="360"/>
        <w:jc w:val="both"/>
        <w:rPr>
          <w:rFonts w:ascii="Arial" w:hAnsi="Arial" w:cs="Arial"/>
          <w:sz w:val="24"/>
          <w:szCs w:val="24"/>
        </w:rPr>
      </w:pPr>
    </w:p>
    <w:p w:rsidR="00A16116" w:rsidRDefault="00A16116" w:rsidP="00A16116">
      <w:pPr>
        <w:autoSpaceDE w:val="0"/>
        <w:autoSpaceDN w:val="0"/>
        <w:adjustRightInd w:val="0"/>
        <w:ind w:left="360" w:right="585"/>
        <w:jc w:val="both"/>
        <w:rPr>
          <w:rFonts w:ascii="Arial" w:hAnsi="Arial"/>
          <w:bCs/>
          <w:iCs/>
          <w:sz w:val="24"/>
        </w:rPr>
      </w:pPr>
      <w:proofErr w:type="spellStart"/>
      <w:r>
        <w:rPr>
          <w:rFonts w:ascii="Arial" w:hAnsi="Arial"/>
          <w:bCs/>
          <w:iCs/>
          <w:sz w:val="24"/>
        </w:rPr>
        <w:t>S</w:t>
      </w:r>
      <w:r w:rsidRPr="004F0519">
        <w:rPr>
          <w:rFonts w:ascii="Arial" w:hAnsi="Arial"/>
          <w:bCs/>
          <w:iCs/>
          <w:sz w:val="24"/>
          <w:vertAlign w:val="subscript"/>
        </w:rPr>
        <w:t>k</w:t>
      </w:r>
      <w:proofErr w:type="spellEnd"/>
      <w:r>
        <w:rPr>
          <w:rFonts w:ascii="Arial" w:hAnsi="Arial"/>
          <w:bCs/>
          <w:iCs/>
          <w:sz w:val="24"/>
          <w:vertAlign w:val="subscript"/>
        </w:rPr>
        <w:t xml:space="preserve"> </w:t>
      </w:r>
      <w:r>
        <w:rPr>
          <w:rFonts w:ascii="Arial" w:hAnsi="Arial"/>
          <w:bCs/>
          <w:iCs/>
          <w:sz w:val="24"/>
        </w:rPr>
        <w:t xml:space="preserve">= </w:t>
      </w:r>
      <w:r>
        <w:rPr>
          <w:rFonts w:ascii="Arial" w:hAnsi="Arial" w:cs="Arial"/>
          <w:sz w:val="24"/>
          <w:szCs w:val="24"/>
        </w:rPr>
        <w:t>valore dell’</w:t>
      </w:r>
      <w:r w:rsidRPr="004F0519">
        <w:rPr>
          <w:rFonts w:ascii="Arial" w:hAnsi="Arial"/>
          <w:bCs/>
          <w:iCs/>
          <w:sz w:val="24"/>
        </w:rPr>
        <w:t>Allocazione dell’Utente k-esimo</w:t>
      </w:r>
      <w:r>
        <w:rPr>
          <w:rFonts w:ascii="Arial" w:hAnsi="Arial"/>
          <w:bCs/>
          <w:iCs/>
          <w:sz w:val="24"/>
        </w:rPr>
        <w:t xml:space="preserve"> del s</w:t>
      </w:r>
      <w:r w:rsidRPr="0035526F">
        <w:rPr>
          <w:rFonts w:ascii="Arial" w:hAnsi="Arial"/>
          <w:bCs/>
          <w:iCs/>
          <w:sz w:val="24"/>
        </w:rPr>
        <w:t>ervizi</w:t>
      </w:r>
      <w:r>
        <w:rPr>
          <w:rFonts w:ascii="Arial" w:hAnsi="Arial"/>
          <w:bCs/>
          <w:iCs/>
          <w:sz w:val="24"/>
        </w:rPr>
        <w:t>o</w:t>
      </w:r>
      <w:r w:rsidRPr="0035526F">
        <w:rPr>
          <w:rFonts w:ascii="Arial" w:hAnsi="Arial"/>
          <w:bCs/>
          <w:iCs/>
          <w:sz w:val="24"/>
        </w:rPr>
        <w:t xml:space="preserve"> di Stoccaggio Minerario</w:t>
      </w:r>
      <w:r>
        <w:rPr>
          <w:rFonts w:ascii="Arial" w:hAnsi="Arial"/>
          <w:bCs/>
          <w:iCs/>
          <w:sz w:val="24"/>
        </w:rPr>
        <w:t>,</w:t>
      </w:r>
      <w:r w:rsidRPr="0035526F">
        <w:rPr>
          <w:rFonts w:ascii="Arial" w:hAnsi="Arial"/>
          <w:bCs/>
          <w:iCs/>
          <w:sz w:val="24"/>
        </w:rPr>
        <w:t xml:space="preserve"> Modulazione</w:t>
      </w:r>
      <w:r>
        <w:rPr>
          <w:rFonts w:ascii="Arial" w:hAnsi="Arial"/>
          <w:bCs/>
          <w:iCs/>
          <w:sz w:val="24"/>
        </w:rPr>
        <w:t xml:space="preserve"> e</w:t>
      </w:r>
      <w:r w:rsidRPr="0035526F">
        <w:rPr>
          <w:rFonts w:ascii="Arial" w:hAnsi="Arial"/>
          <w:bCs/>
          <w:iCs/>
          <w:sz w:val="24"/>
        </w:rPr>
        <w:t xml:space="preserve"> </w:t>
      </w:r>
      <w:r>
        <w:rPr>
          <w:rFonts w:ascii="Arial" w:hAnsi="Arial"/>
          <w:bCs/>
          <w:iCs/>
          <w:sz w:val="24"/>
        </w:rPr>
        <w:t>di Bilanciamento utenti</w:t>
      </w:r>
      <w:r w:rsidRPr="004F0519">
        <w:rPr>
          <w:rFonts w:ascii="Arial" w:hAnsi="Arial"/>
          <w:bCs/>
          <w:iCs/>
          <w:sz w:val="24"/>
        </w:rPr>
        <w:t xml:space="preserve"> nel Giorno Gas</w:t>
      </w:r>
      <w:r>
        <w:rPr>
          <w:rFonts w:ascii="Arial" w:hAnsi="Arial"/>
          <w:bCs/>
          <w:iCs/>
          <w:sz w:val="24"/>
        </w:rPr>
        <w:t xml:space="preserve"> G</w:t>
      </w:r>
      <w:r w:rsidRPr="004F0519">
        <w:rPr>
          <w:rFonts w:ascii="Arial" w:hAnsi="Arial"/>
          <w:bCs/>
          <w:iCs/>
          <w:sz w:val="24"/>
        </w:rPr>
        <w:t xml:space="preserve"> in corrispondenza del punto di interconnessione virtuale corrispondente all’</w:t>
      </w:r>
      <w:proofErr w:type="spellStart"/>
      <w:r w:rsidRPr="004F0519">
        <w:rPr>
          <w:rFonts w:ascii="Arial" w:hAnsi="Arial"/>
          <w:bCs/>
          <w:iCs/>
          <w:sz w:val="24"/>
        </w:rPr>
        <w:t>Hub</w:t>
      </w:r>
      <w:proofErr w:type="spellEnd"/>
      <w:r w:rsidRPr="004F0519">
        <w:rPr>
          <w:rFonts w:ascii="Arial" w:hAnsi="Arial"/>
          <w:bCs/>
          <w:iCs/>
          <w:sz w:val="24"/>
        </w:rPr>
        <w:t xml:space="preserve"> di stoccaggio</w:t>
      </w:r>
      <w:r>
        <w:rPr>
          <w:rFonts w:ascii="Arial" w:hAnsi="Arial"/>
          <w:bCs/>
          <w:iCs/>
          <w:sz w:val="24"/>
        </w:rPr>
        <w:t xml:space="preserve">. I valori di </w:t>
      </w:r>
      <w:proofErr w:type="spellStart"/>
      <w:r>
        <w:rPr>
          <w:rFonts w:ascii="Arial" w:hAnsi="Arial"/>
          <w:bCs/>
          <w:iCs/>
          <w:sz w:val="24"/>
        </w:rPr>
        <w:t>S</w:t>
      </w:r>
      <w:r w:rsidRPr="0079112A">
        <w:rPr>
          <w:rFonts w:ascii="Arial" w:hAnsi="Arial"/>
          <w:bCs/>
          <w:iCs/>
          <w:sz w:val="24"/>
          <w:vertAlign w:val="subscript"/>
        </w:rPr>
        <w:t>k</w:t>
      </w:r>
      <w:proofErr w:type="spellEnd"/>
      <w:r>
        <w:rPr>
          <w:rFonts w:ascii="Arial" w:hAnsi="Arial"/>
          <w:bCs/>
          <w:iCs/>
          <w:sz w:val="24"/>
          <w:vertAlign w:val="subscript"/>
        </w:rPr>
        <w:t>,</w:t>
      </w:r>
      <w:r>
        <w:rPr>
          <w:rFonts w:ascii="Arial" w:hAnsi="Arial"/>
          <w:bCs/>
          <w:iCs/>
          <w:sz w:val="24"/>
        </w:rPr>
        <w:t xml:space="preserve"> si intendono positivi se concordi con </w:t>
      </w:r>
      <w:proofErr w:type="spellStart"/>
      <w:r>
        <w:rPr>
          <w:rFonts w:ascii="Arial" w:hAnsi="Arial"/>
          <w:bCs/>
          <w:iCs/>
          <w:sz w:val="24"/>
        </w:rPr>
        <w:t>FP</w:t>
      </w:r>
      <w:r w:rsidRPr="0079112A">
        <w:rPr>
          <w:rFonts w:ascii="Arial" w:hAnsi="Arial"/>
          <w:bCs/>
          <w:iCs/>
          <w:sz w:val="24"/>
          <w:vertAlign w:val="subscript"/>
        </w:rPr>
        <w:t>i</w:t>
      </w:r>
      <w:proofErr w:type="spellEnd"/>
      <w:r>
        <w:rPr>
          <w:rFonts w:ascii="Arial" w:hAnsi="Arial"/>
          <w:bCs/>
          <w:iCs/>
          <w:sz w:val="24"/>
        </w:rPr>
        <w:t xml:space="preserve"> e negativi se </w:t>
      </w:r>
      <w:r w:rsidRPr="000F6ACD">
        <w:rPr>
          <w:rFonts w:ascii="Arial" w:hAnsi="Arial"/>
          <w:bCs/>
          <w:iCs/>
          <w:sz w:val="24"/>
        </w:rPr>
        <w:t>discordi. Fino al 31 marzo 2013</w:t>
      </w:r>
      <w:r w:rsidRPr="000F6ACD">
        <w:rPr>
          <w:rFonts w:ascii="Arial" w:hAnsi="Arial"/>
          <w:bCs/>
          <w:iCs/>
          <w:sz w:val="24"/>
          <w:vertAlign w:val="subscript"/>
        </w:rPr>
        <w:t xml:space="preserve"> </w:t>
      </w:r>
      <w:r w:rsidRPr="000F6ACD">
        <w:rPr>
          <w:rFonts w:ascii="Arial" w:hAnsi="Arial"/>
          <w:bCs/>
          <w:iCs/>
          <w:sz w:val="24"/>
        </w:rPr>
        <w:t xml:space="preserve">i valori di </w:t>
      </w:r>
      <w:proofErr w:type="spellStart"/>
      <w:r w:rsidRPr="000F6ACD">
        <w:rPr>
          <w:rFonts w:ascii="Arial" w:hAnsi="Arial"/>
          <w:bCs/>
          <w:iCs/>
          <w:sz w:val="24"/>
        </w:rPr>
        <w:t>S</w:t>
      </w:r>
      <w:r w:rsidRPr="000F6ACD">
        <w:rPr>
          <w:rFonts w:ascii="Arial" w:hAnsi="Arial"/>
          <w:bCs/>
          <w:iCs/>
          <w:sz w:val="24"/>
          <w:vertAlign w:val="subscript"/>
        </w:rPr>
        <w:t>k</w:t>
      </w:r>
      <w:proofErr w:type="spellEnd"/>
      <w:r w:rsidRPr="000F6ACD">
        <w:rPr>
          <w:rFonts w:ascii="Arial" w:hAnsi="Arial"/>
          <w:bCs/>
          <w:iCs/>
          <w:sz w:val="24"/>
          <w:vertAlign w:val="subscript"/>
        </w:rPr>
        <w:t>,</w:t>
      </w:r>
      <w:r w:rsidRPr="000F6ACD">
        <w:rPr>
          <w:rFonts w:ascii="Arial" w:hAnsi="Arial"/>
          <w:bCs/>
          <w:iCs/>
          <w:sz w:val="24"/>
        </w:rPr>
        <w:t xml:space="preserve"> si intendono positivi se coerenti con il flusso fisico misurato e considerati pari a zero ai fini della applicazione della precedente formula negli altri casi.</w:t>
      </w:r>
    </w:p>
    <w:p w:rsidR="00A16116" w:rsidRDefault="00A16116" w:rsidP="00A16116">
      <w:pPr>
        <w:autoSpaceDE w:val="0"/>
        <w:autoSpaceDN w:val="0"/>
        <w:adjustRightInd w:val="0"/>
        <w:ind w:left="360" w:right="585"/>
        <w:jc w:val="both"/>
        <w:rPr>
          <w:rFonts w:ascii="Arial" w:hAnsi="Arial"/>
          <w:bCs/>
          <w:iCs/>
          <w:sz w:val="24"/>
        </w:rPr>
      </w:pPr>
    </w:p>
    <w:p w:rsidR="00A16116" w:rsidRPr="00811D1B" w:rsidRDefault="00A16116" w:rsidP="00A16116">
      <w:pPr>
        <w:pStyle w:val="primolivellobullet"/>
        <w:numPr>
          <w:ilvl w:val="0"/>
          <w:numId w:val="0"/>
        </w:numPr>
        <w:ind w:left="360"/>
      </w:pPr>
      <w:r>
        <w:rPr>
          <w:lang w:val="nl-NL"/>
        </w:rPr>
        <w:t xml:space="preserve">L’Impresa di stoccaggio </w:t>
      </w:r>
      <w:r w:rsidRPr="00811D1B">
        <w:t>alloca gli autoconsumi di gas a copertura dei consumi tecnici</w:t>
      </w:r>
      <w:r>
        <w:t xml:space="preserve"> per il</w:t>
      </w:r>
      <w:r w:rsidRPr="00811D1B">
        <w:t xml:space="preserve"> </w:t>
      </w:r>
      <w:r w:rsidRPr="00FD4C28">
        <w:rPr>
          <w:rFonts w:cs="Arial"/>
          <w:szCs w:val="24"/>
        </w:rPr>
        <w:t xml:space="preserve">funzionamento degli impianti di trattamento e degli usi interni di impianto </w:t>
      </w:r>
      <w:r w:rsidRPr="00811D1B">
        <w:t>in proporzione al volume complessivamente allocato all’Utente secondo i seguenti criteri;</w:t>
      </w:r>
    </w:p>
    <w:p w:rsidR="00A16116" w:rsidRPr="00811D1B" w:rsidRDefault="00A16116" w:rsidP="00A16116">
      <w:pPr>
        <w:pStyle w:val="primolivellobullet"/>
        <w:numPr>
          <w:ilvl w:val="0"/>
          <w:numId w:val="0"/>
        </w:numPr>
        <w:ind w:left="360"/>
      </w:pPr>
    </w:p>
    <w:p w:rsidR="00A16116" w:rsidRDefault="00A16116" w:rsidP="00A16116">
      <w:pPr>
        <w:pStyle w:val="primolivellobullet"/>
        <w:numPr>
          <w:ilvl w:val="0"/>
          <w:numId w:val="17"/>
        </w:numPr>
      </w:pPr>
      <w:r w:rsidRPr="00811D1B">
        <w:t>All’</w:t>
      </w:r>
      <w:r>
        <w:t>U</w:t>
      </w:r>
      <w:r w:rsidRPr="00811D1B">
        <w:t xml:space="preserve">tente che abbia movimentato gas presso lo stoccaggio nello stesso verso di </w:t>
      </w:r>
      <w:proofErr w:type="spellStart"/>
      <w:r w:rsidRPr="00811D1B">
        <w:t>FP</w:t>
      </w:r>
      <w:r w:rsidRPr="00811D1B">
        <w:rPr>
          <w:vertAlign w:val="subscript"/>
        </w:rPr>
        <w:t>i</w:t>
      </w:r>
      <w:proofErr w:type="spellEnd"/>
      <w:r w:rsidRPr="00811D1B">
        <w:t xml:space="preserve"> attribuisce un </w:t>
      </w:r>
      <w:r>
        <w:t xml:space="preserve">autoconsumo </w:t>
      </w:r>
      <w:proofErr w:type="spellStart"/>
      <w:r>
        <w:t>AC</w:t>
      </w:r>
      <w:r>
        <w:rPr>
          <w:vertAlign w:val="subscript"/>
        </w:rPr>
        <w:t>k</w:t>
      </w:r>
      <w:proofErr w:type="spellEnd"/>
      <w:r>
        <w:t xml:space="preserve"> </w:t>
      </w:r>
      <w:r w:rsidRPr="00811D1B">
        <w:t xml:space="preserve">pari alla quota percentuale di </w:t>
      </w:r>
      <w:r>
        <w:t>AC</w:t>
      </w:r>
      <w:r w:rsidRPr="00811D1B">
        <w:rPr>
          <w:vertAlign w:val="subscript"/>
        </w:rPr>
        <w:t>%</w:t>
      </w:r>
      <w:r w:rsidRPr="00811D1B">
        <w:t xml:space="preserve">  relativa al verso di </w:t>
      </w:r>
      <w:proofErr w:type="spellStart"/>
      <w:r w:rsidRPr="00811D1B">
        <w:t>FP</w:t>
      </w:r>
      <w:r w:rsidRPr="00811D1B">
        <w:rPr>
          <w:vertAlign w:val="subscript"/>
        </w:rPr>
        <w:t>i</w:t>
      </w:r>
      <w:proofErr w:type="spellEnd"/>
      <w:r w:rsidRPr="00811D1B">
        <w:t xml:space="preserve"> applicata alla quantità di gas movimentato</w:t>
      </w:r>
      <w:r>
        <w:t>;</w:t>
      </w:r>
    </w:p>
    <w:p w:rsidR="00A16116" w:rsidRPr="00811D1B" w:rsidRDefault="00A16116" w:rsidP="00A16116">
      <w:pPr>
        <w:pStyle w:val="primolivellobullet"/>
        <w:numPr>
          <w:ilvl w:val="0"/>
          <w:numId w:val="0"/>
        </w:numPr>
        <w:tabs>
          <w:tab w:val="num" w:pos="900"/>
        </w:tabs>
        <w:ind w:left="900" w:hanging="180"/>
      </w:pPr>
    </w:p>
    <w:p w:rsidR="00A16116" w:rsidRDefault="00A16116" w:rsidP="00A16116">
      <w:pPr>
        <w:pStyle w:val="primolivellobullet"/>
        <w:numPr>
          <w:ilvl w:val="0"/>
          <w:numId w:val="17"/>
        </w:numPr>
      </w:pPr>
      <w:r w:rsidRPr="00811D1B">
        <w:t>A</w:t>
      </w:r>
      <w:r>
        <w:t>ll’U</w:t>
      </w:r>
      <w:r w:rsidRPr="00811D1B">
        <w:t xml:space="preserve">tente che abbia movimentato gas presso lo stoccaggio nel verso opposto a quello di </w:t>
      </w:r>
      <w:proofErr w:type="spellStart"/>
      <w:r w:rsidRPr="00811D1B">
        <w:t>FP</w:t>
      </w:r>
      <w:r w:rsidRPr="007F2A02">
        <w:rPr>
          <w:vertAlign w:val="subscript"/>
        </w:rPr>
        <w:t>i</w:t>
      </w:r>
      <w:proofErr w:type="spellEnd"/>
      <w:r w:rsidRPr="00811D1B">
        <w:t xml:space="preserve"> </w:t>
      </w:r>
      <w:r>
        <w:t xml:space="preserve">attribuisce un quantitativo </w:t>
      </w:r>
      <w:proofErr w:type="spellStart"/>
      <w:r>
        <w:t>AC</w:t>
      </w:r>
      <w:r>
        <w:rPr>
          <w:vertAlign w:val="subscript"/>
        </w:rPr>
        <w:t>k</w:t>
      </w:r>
      <w:proofErr w:type="spellEnd"/>
      <w:r>
        <w:t xml:space="preserve"> di gas in giacenza</w:t>
      </w:r>
      <w:r w:rsidRPr="00811D1B">
        <w:t xml:space="preserve"> pari alla quota percentuale di </w:t>
      </w:r>
      <w:r>
        <w:t>AC</w:t>
      </w:r>
      <w:r w:rsidRPr="00811D1B">
        <w:rPr>
          <w:vertAlign w:val="subscript"/>
        </w:rPr>
        <w:t>%</w:t>
      </w:r>
      <w:r w:rsidRPr="00811D1B">
        <w:t xml:space="preserve"> relativa al verso di </w:t>
      </w:r>
      <w:proofErr w:type="spellStart"/>
      <w:r w:rsidRPr="00811D1B">
        <w:t>FP</w:t>
      </w:r>
      <w:r w:rsidRPr="00811D1B">
        <w:rPr>
          <w:vertAlign w:val="subscript"/>
        </w:rPr>
        <w:t>i</w:t>
      </w:r>
      <w:proofErr w:type="spellEnd"/>
      <w:r w:rsidRPr="00811D1B">
        <w:t xml:space="preserve"> applicata alla quantità di gas movimentato</w:t>
      </w:r>
      <w:r>
        <w:t>.</w:t>
      </w:r>
    </w:p>
    <w:p w:rsidR="00A16116" w:rsidRDefault="00A16116" w:rsidP="00A16116">
      <w:pPr>
        <w:pStyle w:val="Corpotesto"/>
        <w:ind w:left="360"/>
      </w:pPr>
    </w:p>
    <w:p w:rsidR="00A16116" w:rsidRDefault="00A16116" w:rsidP="00A16116">
      <w:pPr>
        <w:pStyle w:val="Corpotesto"/>
        <w:ind w:left="360"/>
      </w:pPr>
      <w:r w:rsidRPr="00AA3727">
        <w:t>L’autoconsumo di gas allocato</w:t>
      </w:r>
      <w:r>
        <w:t xml:space="preserve"> AC</w:t>
      </w:r>
      <w:r>
        <w:rPr>
          <w:vertAlign w:val="subscript"/>
        </w:rPr>
        <w:t>U</w:t>
      </w:r>
      <w:r w:rsidRPr="00AA3727">
        <w:t xml:space="preserve"> all’Utente </w:t>
      </w:r>
      <w:r>
        <w:t>u</w:t>
      </w:r>
      <w:r w:rsidRPr="00AA3727">
        <w:t>-esimo nel giorno g sarà:</w:t>
      </w:r>
    </w:p>
    <w:p w:rsidR="00A16116" w:rsidRDefault="00A16116" w:rsidP="00A16116">
      <w:pPr>
        <w:pStyle w:val="Corpotesto"/>
        <w:ind w:left="360"/>
        <w:rPr>
          <w:b/>
          <w:highlight w:val="red"/>
          <w:lang w:val="nl-NL"/>
        </w:rPr>
      </w:pPr>
    </w:p>
    <w:p w:rsidR="00A16116" w:rsidRPr="00AA3727" w:rsidRDefault="00A16116" w:rsidP="00A16116">
      <w:pPr>
        <w:pStyle w:val="Corpotesto"/>
        <w:ind w:left="360"/>
      </w:pPr>
      <w:r w:rsidRPr="00022349">
        <w:rPr>
          <w:b/>
          <w:color w:val="FF0000"/>
          <w:position w:val="-12"/>
          <w:lang w:val="nl-NL"/>
        </w:rPr>
        <w:object w:dxaOrig="1680" w:dyaOrig="360">
          <v:shape id="_x0000_i1026" type="#_x0000_t75" style="width:84pt;height:18pt" o:ole="">
            <v:imagedata r:id="rId8" o:title=""/>
          </v:shape>
          <o:OLEObject Type="Embed" ProgID="Equation.3" ShapeID="_x0000_i1026" DrawAspect="Content" ObjectID="_1457964732" r:id="rId9"/>
        </w:object>
      </w:r>
    </w:p>
    <w:p w:rsidR="00A16116" w:rsidRDefault="00A16116" w:rsidP="00A16116">
      <w:pPr>
        <w:pStyle w:val="primolivellobullet"/>
        <w:numPr>
          <w:ilvl w:val="0"/>
          <w:numId w:val="0"/>
        </w:numPr>
        <w:ind w:left="1080"/>
      </w:pPr>
    </w:p>
    <w:p w:rsidR="00A16116" w:rsidRPr="00811D1B" w:rsidRDefault="00A16116" w:rsidP="00A16116">
      <w:pPr>
        <w:pStyle w:val="primolivellobullet"/>
        <w:numPr>
          <w:ilvl w:val="0"/>
          <w:numId w:val="0"/>
        </w:numPr>
        <w:ind w:left="360"/>
      </w:pPr>
      <w:r w:rsidRPr="000F6ACD">
        <w:t>Fino al 31 marzo 2013</w:t>
      </w:r>
      <w:r w:rsidRPr="000F6ACD">
        <w:rPr>
          <w:vertAlign w:val="subscript"/>
        </w:rPr>
        <w:t xml:space="preserve"> </w:t>
      </w:r>
      <w:r w:rsidRPr="000F6ACD">
        <w:t>sarà applicata unicamente la lettera a) agli Utenti che hanno movimentato gas coerentemente con il flusso fisico del sistema e la lettera b) non troverà applicazione.</w:t>
      </w:r>
    </w:p>
    <w:p w:rsidR="00A16116" w:rsidRPr="00043E69" w:rsidRDefault="00A16116" w:rsidP="00A16116">
      <w:pPr>
        <w:pStyle w:val="Titolo3"/>
        <w:ind w:left="360"/>
      </w:pPr>
      <w:bookmarkStart w:id="9" w:name="_Toc156200517"/>
      <w:bookmarkStart w:id="10" w:name="_Toc156200611"/>
      <w:bookmarkStart w:id="11" w:name="_Toc156207586"/>
      <w:bookmarkStart w:id="12" w:name="_Toc363031699"/>
      <w:bookmarkEnd w:id="9"/>
      <w:bookmarkEnd w:id="10"/>
      <w:bookmarkEnd w:id="11"/>
      <w:r w:rsidRPr="00043E69">
        <w:t>Allocazioni giornaliere</w:t>
      </w:r>
      <w:bookmarkEnd w:id="12"/>
      <w:r w:rsidRPr="00043E69">
        <w:t xml:space="preserve"> </w:t>
      </w:r>
    </w:p>
    <w:p w:rsidR="00A16116" w:rsidRPr="00043E69" w:rsidRDefault="00A16116" w:rsidP="00A16116">
      <w:pPr>
        <w:pStyle w:val="Corpotesto"/>
      </w:pPr>
      <w:r w:rsidRPr="00043E69">
        <w:t>L’</w:t>
      </w:r>
      <w:r>
        <w:t>I</w:t>
      </w:r>
      <w:r w:rsidRPr="00043E69">
        <w:t>mpresa di Stoccaggio comunica entro le 11:30 di ogni giorno agli Utenti del servizio, secondo le modalità previste al paragrafo 4A.6 dell’Allegato “Tempi e Modalità del Coordinamento Informativo”, i quantitativi di Gas, espressi in GJ, complessivamente movimentati</w:t>
      </w:r>
      <w:r>
        <w:t>, tenuto conto degli autoconsumi di pertinenza,</w:t>
      </w:r>
      <w:r w:rsidRPr="00043E69">
        <w:t xml:space="preserve"> sul Sistema nel giorno precedente.</w:t>
      </w:r>
    </w:p>
    <w:p w:rsidR="00A16116" w:rsidRPr="00043E69" w:rsidRDefault="00A16116" w:rsidP="00A16116">
      <w:pPr>
        <w:pStyle w:val="Corpotesto"/>
      </w:pPr>
    </w:p>
    <w:p w:rsidR="00A16116" w:rsidRPr="00043E69" w:rsidRDefault="00A16116" w:rsidP="00A16116">
      <w:pPr>
        <w:pStyle w:val="Corpotesto"/>
      </w:pPr>
      <w:r w:rsidRPr="00043E69">
        <w:t>Sulla base delle prenotazioni di ciascun Utente e dei dati fino a quel momento disponibili, l’</w:t>
      </w:r>
      <w:r>
        <w:t>I</w:t>
      </w:r>
      <w:r w:rsidRPr="00043E69">
        <w:t>mpresa di Stoccaggio determina la posizione in stoccaggio dell’Utente.</w:t>
      </w:r>
    </w:p>
    <w:p w:rsidR="00A16116" w:rsidRPr="00043E69" w:rsidRDefault="00A16116" w:rsidP="00A16116">
      <w:pPr>
        <w:pStyle w:val="Corpotesto"/>
      </w:pPr>
      <w:r w:rsidRPr="00043E69">
        <w:t>L’</w:t>
      </w:r>
      <w:r>
        <w:t>I</w:t>
      </w:r>
      <w:r w:rsidRPr="00043E69">
        <w:t>mpresa di Stoccaggio tiene un registro del gas movimentato giornalmente per ciascun Utente, che rende disponibile all’Utente stesso entro 3 giorni lavorativi dalla data di ricevimento della richiesta, contenente le seguenti informazioni espresse in GJ:</w:t>
      </w:r>
    </w:p>
    <w:p w:rsidR="00A16116" w:rsidRPr="00043E69" w:rsidRDefault="00A16116" w:rsidP="00A16116">
      <w:pPr>
        <w:pStyle w:val="Corpotesto"/>
      </w:pPr>
    </w:p>
    <w:p w:rsidR="00A16116" w:rsidRPr="00043E69" w:rsidRDefault="00A16116" w:rsidP="00A16116">
      <w:pPr>
        <w:pStyle w:val="Rientrocorpodeltesto"/>
      </w:pPr>
      <w:r w:rsidRPr="00043E69">
        <w:t>Giacenza all’Inizio dell’Anno Termico;</w:t>
      </w:r>
    </w:p>
    <w:p w:rsidR="00A16116" w:rsidRPr="00043E69" w:rsidRDefault="00A16116" w:rsidP="00A16116">
      <w:pPr>
        <w:pStyle w:val="Rientrocorpodeltesto"/>
      </w:pPr>
      <w:r w:rsidRPr="00043E69">
        <w:t>Giacenza a fine ciclo di iniezione;</w:t>
      </w:r>
    </w:p>
    <w:p w:rsidR="00A16116" w:rsidRPr="00043E69" w:rsidRDefault="00A16116" w:rsidP="00A16116">
      <w:pPr>
        <w:pStyle w:val="Rientrocorpodeltesto"/>
      </w:pPr>
      <w:r w:rsidRPr="00043E69">
        <w:t>Giacenza al termine del mese precedente quello della richiesta;</w:t>
      </w:r>
    </w:p>
    <w:p w:rsidR="00A16116" w:rsidRPr="00043E69" w:rsidRDefault="00A16116" w:rsidP="00A16116">
      <w:pPr>
        <w:pStyle w:val="Rientrocorpodeltesto"/>
      </w:pPr>
      <w:r w:rsidRPr="00043E69">
        <w:t>Movimentato giornaliero in erogazione allocato in forma definitiva;</w:t>
      </w:r>
    </w:p>
    <w:p w:rsidR="00A16116" w:rsidRPr="00043E69" w:rsidRDefault="00A16116" w:rsidP="00A16116">
      <w:pPr>
        <w:pStyle w:val="Rientrocorpodeltesto"/>
      </w:pPr>
      <w:r w:rsidRPr="00043E69">
        <w:t>Movimentato giornaliero in iniezione allocato in forma definitiva;</w:t>
      </w:r>
    </w:p>
    <w:p w:rsidR="00A16116" w:rsidRPr="00043E69" w:rsidRDefault="00A16116" w:rsidP="00A16116">
      <w:pPr>
        <w:pStyle w:val="Rientrocorpodeltesto"/>
      </w:pPr>
      <w:r w:rsidRPr="00043E69">
        <w:t>Movimentato giornaliero fino al giorno precedente quello di ricevimento della richiesta;</w:t>
      </w:r>
    </w:p>
    <w:p w:rsidR="00A16116" w:rsidRDefault="00A16116" w:rsidP="00A16116">
      <w:pPr>
        <w:pStyle w:val="Rientrocorpodeltesto"/>
      </w:pPr>
      <w:r w:rsidRPr="00043E69">
        <w:t>Eventuali altre informazioni necessarie alla ricostruzione della giacenza quali scambi/cessioni/trasferimenti</w:t>
      </w:r>
      <w:r>
        <w:t>;</w:t>
      </w:r>
    </w:p>
    <w:p w:rsidR="00A16116" w:rsidRPr="00043E69" w:rsidRDefault="00A16116" w:rsidP="00A16116">
      <w:pPr>
        <w:pStyle w:val="Rientrocorpodeltesto"/>
      </w:pPr>
      <w:r>
        <w:t>Autoconsumi</w:t>
      </w:r>
      <w:r w:rsidRPr="00043E69">
        <w:t>.</w:t>
      </w:r>
    </w:p>
    <w:p w:rsidR="00A16116" w:rsidRPr="00043E69" w:rsidRDefault="00A16116" w:rsidP="00A16116">
      <w:pPr>
        <w:ind w:left="360"/>
        <w:jc w:val="both"/>
      </w:pPr>
    </w:p>
    <w:p w:rsidR="00A16116" w:rsidRPr="00043E69" w:rsidRDefault="00A16116" w:rsidP="00A16116">
      <w:pPr>
        <w:pStyle w:val="Corpotesto"/>
      </w:pPr>
      <w:r w:rsidRPr="00043E69">
        <w:t>La richiesta dovrà pervenire all’</w:t>
      </w:r>
      <w:r>
        <w:t>I</w:t>
      </w:r>
      <w:r w:rsidRPr="00043E69">
        <w:t>mpresa di stoccaggio secondo le modalità definite nel paragrafo 4A.6 dell’Allegato “Tempi e Modalità del Coordinamento Informativo”.</w:t>
      </w:r>
    </w:p>
    <w:p w:rsidR="00A16116" w:rsidRDefault="00A16116" w:rsidP="00A16116">
      <w:pPr>
        <w:pStyle w:val="Titolo2"/>
      </w:pPr>
      <w:bookmarkStart w:id="13" w:name="_Toc137293083"/>
      <w:bookmarkStart w:id="14" w:name="_Toc137293085"/>
      <w:bookmarkStart w:id="15" w:name="_Toc137293087"/>
      <w:bookmarkStart w:id="16" w:name="_Toc137293090"/>
      <w:bookmarkStart w:id="17" w:name="_Toc137293098"/>
      <w:bookmarkStart w:id="18" w:name="_Toc137293101"/>
      <w:bookmarkStart w:id="19" w:name="_Toc363031700"/>
      <w:bookmarkEnd w:id="13"/>
      <w:bookmarkEnd w:id="14"/>
      <w:bookmarkEnd w:id="15"/>
      <w:bookmarkEnd w:id="16"/>
      <w:bookmarkEnd w:id="17"/>
      <w:bookmarkEnd w:id="18"/>
      <w:r>
        <w:t>CORRISPETTIVI PER IL BILANCIAMENTO</w:t>
      </w:r>
      <w:bookmarkEnd w:id="19"/>
      <w:r>
        <w:t xml:space="preserve"> </w:t>
      </w:r>
    </w:p>
    <w:p w:rsidR="00A16116" w:rsidRPr="00311AE7" w:rsidRDefault="00A16116" w:rsidP="00A16116">
      <w:pPr>
        <w:pStyle w:val="Corpotesto"/>
      </w:pPr>
      <w:r w:rsidRPr="00311AE7">
        <w:t xml:space="preserve">L’Impresa di Stoccaggio, per assicurare </w:t>
      </w:r>
      <w:r>
        <w:t xml:space="preserve">il bilanciamento e </w:t>
      </w:r>
      <w:r w:rsidRPr="00311AE7">
        <w:t xml:space="preserve">la reintegrazione del Sistema in caso di utilizzo di capacità superiori a </w:t>
      </w:r>
      <w:r w:rsidRPr="00311AE7">
        <w:lastRenderedPageBreak/>
        <w:t>quelle impegnate applica, secondo quanto previsto dalla Delibera, i corrispettivi di bilanciamento di seguito elencati.</w:t>
      </w:r>
    </w:p>
    <w:p w:rsidR="00A16116" w:rsidRDefault="00A16116" w:rsidP="00A16116">
      <w:pPr>
        <w:pStyle w:val="Rientrocorpodeltesto"/>
        <w:numPr>
          <w:ilvl w:val="0"/>
          <w:numId w:val="0"/>
        </w:numPr>
        <w:tabs>
          <w:tab w:val="left" w:pos="180"/>
        </w:tabs>
        <w:ind w:left="360"/>
      </w:pPr>
      <w:bookmarkStart w:id="20" w:name="_Toc156200521"/>
      <w:bookmarkStart w:id="21" w:name="_Toc156200615"/>
      <w:bookmarkStart w:id="22" w:name="_Toc156207590"/>
      <w:bookmarkStart w:id="23" w:name="_Toc156200522"/>
      <w:bookmarkStart w:id="24" w:name="_Toc156200616"/>
      <w:bookmarkStart w:id="25" w:name="_Toc156207591"/>
      <w:bookmarkStart w:id="26" w:name="_Toc119997259"/>
      <w:bookmarkStart w:id="27" w:name="_Toc137293108"/>
      <w:bookmarkStart w:id="28" w:name="_Toc137293112"/>
      <w:bookmarkStart w:id="29" w:name="_Toc137293118"/>
      <w:bookmarkStart w:id="30" w:name="_Toc137293120"/>
      <w:bookmarkStart w:id="31" w:name="_Toc137293125"/>
      <w:bookmarkStart w:id="32" w:name="_Toc137293127"/>
      <w:bookmarkStart w:id="33" w:name="_Toc119997262"/>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A16116" w:rsidRPr="00DD60A9" w:rsidRDefault="00A16116" w:rsidP="00A16116">
      <w:pPr>
        <w:pStyle w:val="Titolo3"/>
        <w:ind w:left="360"/>
      </w:pPr>
      <w:r>
        <w:t xml:space="preserve"> </w:t>
      </w:r>
      <w:bookmarkStart w:id="34" w:name="_Toc363031701"/>
      <w:r>
        <w:t>Giacenza minima in I</w:t>
      </w:r>
      <w:r w:rsidRPr="00DD60A9">
        <w:t>niezione</w:t>
      </w:r>
      <w:bookmarkEnd w:id="34"/>
    </w:p>
    <w:p w:rsidR="00A16116" w:rsidRPr="00DD60A9" w:rsidRDefault="00A16116" w:rsidP="00A16116">
      <w:pPr>
        <w:pStyle w:val="Rientrocorpodeltesto2"/>
        <w:numPr>
          <w:ilvl w:val="0"/>
          <w:numId w:val="0"/>
        </w:numPr>
        <w:ind w:left="360"/>
        <w:rPr>
          <w:bCs/>
          <w:iCs/>
        </w:rPr>
      </w:pPr>
      <w:r>
        <w:t xml:space="preserve">Qualora risulti dalle Allocazioni che, al termine del mese M, la giacenza </w:t>
      </w:r>
      <w:proofErr w:type="spellStart"/>
      <w:r w:rsidRPr="003628EB">
        <w:t>G</w:t>
      </w:r>
      <w:r w:rsidRPr="003628EB">
        <w:rPr>
          <w:vertAlign w:val="subscript"/>
        </w:rPr>
        <w:t>U</w:t>
      </w:r>
      <w:r>
        <w:rPr>
          <w:vertAlign w:val="subscript"/>
        </w:rPr>
        <w:t>i</w:t>
      </w:r>
      <w:r w:rsidRPr="003628EB">
        <w:rPr>
          <w:vertAlign w:val="subscript"/>
        </w:rPr>
        <w:t>g</w:t>
      </w:r>
      <w:proofErr w:type="spellEnd"/>
      <w:r>
        <w:t xml:space="preserve"> </w:t>
      </w:r>
      <w:r w:rsidRPr="00540A3C">
        <w:t>dell’Utente, calcolata ai sensi del paragrafo 8.2 del presente capitolo</w:t>
      </w:r>
      <w:r w:rsidRPr="00540A3C">
        <w:rPr>
          <w:bCs/>
          <w:iCs/>
        </w:rPr>
        <w:t>, sia inferiore rispetto alla giacenza minima definita dai profili di utilizzo di cui al capitolo “Descrizione degli impianti di stoccaggio e della relativa gestione” l’utente può acquistare quantità di gas mediante una cessione di gas</w:t>
      </w:r>
      <w:r w:rsidRPr="00540A3C">
        <w:t xml:space="preserve"> ai sensi del paragrafo 7.4 del </w:t>
      </w:r>
      <w:r>
        <w:t>capitolo “Transazioni di capacità e gas”</w:t>
      </w:r>
      <w:r w:rsidRPr="00DD60A9">
        <w:rPr>
          <w:bCs/>
          <w:iCs/>
        </w:rPr>
        <w:t>, entro quindici giorni dalla data di ricevimento dei dati circa la sua posizione, corretti da eventuali errori di misura.</w:t>
      </w:r>
    </w:p>
    <w:p w:rsidR="00A16116" w:rsidRDefault="00A16116" w:rsidP="00A16116">
      <w:pPr>
        <w:pStyle w:val="Rientrocorpodeltesto2"/>
        <w:numPr>
          <w:ilvl w:val="0"/>
          <w:numId w:val="0"/>
        </w:numPr>
        <w:ind w:left="360"/>
        <w:rPr>
          <w:bCs/>
          <w:iCs/>
        </w:rPr>
      </w:pPr>
      <w:r w:rsidRPr="00DD60A9">
        <w:rPr>
          <w:bCs/>
          <w:iCs/>
        </w:rPr>
        <w:t xml:space="preserve">Qualora l’Utente non ponga in essere la sopraccitata azione </w:t>
      </w:r>
      <w:r>
        <w:rPr>
          <w:bCs/>
          <w:iCs/>
        </w:rPr>
        <w:t xml:space="preserve">in modo tale da compensare completamente la differenza rilevata, </w:t>
      </w:r>
      <w:r w:rsidRPr="00DD60A9">
        <w:rPr>
          <w:bCs/>
          <w:iCs/>
        </w:rPr>
        <w:t xml:space="preserve">si applica alla differenza </w:t>
      </w:r>
      <w:r>
        <w:rPr>
          <w:bCs/>
          <w:iCs/>
        </w:rPr>
        <w:t xml:space="preserve">, se positiva, </w:t>
      </w:r>
      <w:r w:rsidRPr="00DD60A9">
        <w:rPr>
          <w:bCs/>
          <w:iCs/>
        </w:rPr>
        <w:t>fra la giacenza dell’</w:t>
      </w:r>
      <w:r>
        <w:rPr>
          <w:bCs/>
          <w:iCs/>
        </w:rPr>
        <w:t>U</w:t>
      </w:r>
      <w:r w:rsidRPr="00DD60A9">
        <w:rPr>
          <w:bCs/>
          <w:iCs/>
        </w:rPr>
        <w:t xml:space="preserve">tente </w:t>
      </w:r>
      <w:proofErr w:type="spellStart"/>
      <w:r>
        <w:rPr>
          <w:bCs/>
          <w:iCs/>
        </w:rPr>
        <w:t>G</w:t>
      </w:r>
      <w:r w:rsidRPr="008F4451">
        <w:rPr>
          <w:bCs/>
          <w:iCs/>
          <w:vertAlign w:val="subscript"/>
        </w:rPr>
        <w:t>Ui</w:t>
      </w:r>
      <w:r>
        <w:rPr>
          <w:bCs/>
          <w:iCs/>
          <w:vertAlign w:val="subscript"/>
        </w:rPr>
        <w:t>M</w:t>
      </w:r>
      <w:proofErr w:type="spellEnd"/>
      <w:r>
        <w:rPr>
          <w:bCs/>
          <w:iCs/>
        </w:rPr>
        <w:t xml:space="preserve">, corretta per tenere conto delle parziali cessioni, e </w:t>
      </w:r>
      <w:r w:rsidRPr="00DD60A9">
        <w:rPr>
          <w:bCs/>
          <w:iCs/>
        </w:rPr>
        <w:t xml:space="preserve">la </w:t>
      </w:r>
      <w:r>
        <w:rPr>
          <w:bCs/>
          <w:iCs/>
        </w:rPr>
        <w:t xml:space="preserve">suddetta </w:t>
      </w:r>
      <w:r w:rsidRPr="00DD60A9">
        <w:rPr>
          <w:bCs/>
          <w:iCs/>
        </w:rPr>
        <w:t xml:space="preserve">giacenza minima un corrispettivo pari a 0,4 volte il corrispettivo unitario di spazio </w:t>
      </w:r>
      <w:proofErr w:type="spellStart"/>
      <w:r w:rsidRPr="00DD60A9">
        <w:rPr>
          <w:bCs/>
          <w:iCs/>
        </w:rPr>
        <w:t>f</w:t>
      </w:r>
      <w:r w:rsidRPr="0074268C">
        <w:rPr>
          <w:bCs/>
          <w:iCs/>
          <w:vertAlign w:val="subscript"/>
        </w:rPr>
        <w:t>s</w:t>
      </w:r>
      <w:proofErr w:type="spellEnd"/>
      <w:r>
        <w:rPr>
          <w:bCs/>
          <w:iCs/>
        </w:rPr>
        <w:t>, secondo la seguente formula:</w:t>
      </w:r>
    </w:p>
    <w:p w:rsidR="00A16116" w:rsidRDefault="00A16116" w:rsidP="00A16116">
      <w:pPr>
        <w:pStyle w:val="Rientrocorpodeltesto2"/>
        <w:numPr>
          <w:ilvl w:val="0"/>
          <w:numId w:val="0"/>
        </w:numPr>
        <w:ind w:left="360"/>
        <w:rPr>
          <w:bCs/>
          <w:iCs/>
        </w:rPr>
      </w:pPr>
    </w:p>
    <w:p w:rsidR="00A16116" w:rsidRPr="000B58E6" w:rsidRDefault="00A16116" w:rsidP="00A16116">
      <w:pPr>
        <w:pStyle w:val="Rientrocorpodeltesto2"/>
        <w:numPr>
          <w:ilvl w:val="0"/>
          <w:numId w:val="0"/>
        </w:numPr>
        <w:ind w:left="360"/>
        <w:rPr>
          <w:bCs/>
          <w:iCs/>
        </w:rPr>
      </w:pPr>
      <w:r w:rsidRPr="00EA7DC4">
        <w:rPr>
          <w:bCs/>
          <w:iCs/>
        </w:rPr>
        <w:t>(</w:t>
      </w:r>
      <w:proofErr w:type="spellStart"/>
      <w:r w:rsidRPr="00EA7DC4">
        <w:rPr>
          <w:bCs/>
          <w:iCs/>
        </w:rPr>
        <w:t>G</w:t>
      </w:r>
      <w:r w:rsidRPr="00EA7DC4">
        <w:rPr>
          <w:bCs/>
          <w:iCs/>
          <w:vertAlign w:val="subscript"/>
        </w:rPr>
        <w:t>Ui,m</w:t>
      </w:r>
      <w:proofErr w:type="spellEnd"/>
      <w:r w:rsidRPr="00EA7DC4">
        <w:rPr>
          <w:bCs/>
          <w:iCs/>
        </w:rPr>
        <w:t xml:space="preserve"> - </w:t>
      </w:r>
      <w:proofErr w:type="spellStart"/>
      <w:r w:rsidRPr="00EA7DC4">
        <w:rPr>
          <w:bCs/>
          <w:iCs/>
        </w:rPr>
        <w:t>S</w:t>
      </w:r>
      <w:r w:rsidRPr="00EA7DC4">
        <w:rPr>
          <w:bCs/>
          <w:iCs/>
          <w:vertAlign w:val="subscript"/>
        </w:rPr>
        <w:t>ik</w:t>
      </w:r>
      <w:proofErr w:type="spellEnd"/>
      <w:r w:rsidRPr="00EA7DC4">
        <w:rPr>
          <w:bCs/>
          <w:iCs/>
        </w:rPr>
        <w:t>*</w:t>
      </w:r>
      <w:proofErr w:type="spellStart"/>
      <w:r w:rsidRPr="00EA7DC4">
        <w:rPr>
          <w:bCs/>
          <w:iCs/>
        </w:rPr>
        <w:t>G</w:t>
      </w:r>
      <w:r w:rsidRPr="00FC384A">
        <w:rPr>
          <w:bCs/>
          <w:iCs/>
          <w:highlight w:val="yellow"/>
          <w:vertAlign w:val="subscript"/>
        </w:rPr>
        <w:t>min,m</w:t>
      </w:r>
      <w:proofErr w:type="spellEnd"/>
      <w:r w:rsidRPr="00FC384A">
        <w:rPr>
          <w:bCs/>
          <w:iCs/>
          <w:highlight w:val="yellow"/>
          <w:vertAlign w:val="subscript"/>
        </w:rPr>
        <w:t>%</w:t>
      </w:r>
      <w:r w:rsidRPr="00FC384A">
        <w:rPr>
          <w:bCs/>
          <w:iCs/>
          <w:vertAlign w:val="subscript"/>
        </w:rPr>
        <w:t xml:space="preserve"> </w:t>
      </w:r>
      <w:r w:rsidRPr="00EA7DC4">
        <w:rPr>
          <w:bCs/>
          <w:iCs/>
        </w:rPr>
        <w:t>+ CG</w:t>
      </w:r>
      <w:r w:rsidRPr="00EA7DC4">
        <w:rPr>
          <w:bCs/>
          <w:iCs/>
          <w:vertAlign w:val="subscript"/>
        </w:rPr>
        <w:t>U</w:t>
      </w:r>
      <w:r w:rsidRPr="00EA7DC4">
        <w:rPr>
          <w:bCs/>
          <w:iCs/>
        </w:rPr>
        <w:t>) * 0,4*</w:t>
      </w:r>
      <w:proofErr w:type="spellStart"/>
      <w:r w:rsidRPr="00EA7DC4">
        <w:rPr>
          <w:bCs/>
          <w:iCs/>
        </w:rPr>
        <w:t>f</w:t>
      </w:r>
      <w:r w:rsidRPr="00EA7DC4">
        <w:rPr>
          <w:bCs/>
          <w:iCs/>
          <w:vertAlign w:val="subscript"/>
        </w:rPr>
        <w:t>s</w:t>
      </w:r>
      <w:proofErr w:type="spellEnd"/>
    </w:p>
    <w:p w:rsidR="00A16116" w:rsidRPr="002773F0" w:rsidRDefault="00A16116" w:rsidP="00A16116">
      <w:pPr>
        <w:pStyle w:val="Rientrocorpodeltesto2"/>
        <w:numPr>
          <w:ilvl w:val="0"/>
          <w:numId w:val="0"/>
        </w:numPr>
        <w:ind w:left="360"/>
        <w:rPr>
          <w:bCs/>
          <w:iCs/>
        </w:rPr>
      </w:pPr>
    </w:p>
    <w:p w:rsidR="00A16116" w:rsidRDefault="00A16116" w:rsidP="00A16116">
      <w:pPr>
        <w:pStyle w:val="Rientrocorpodeltesto2"/>
        <w:numPr>
          <w:ilvl w:val="0"/>
          <w:numId w:val="0"/>
        </w:numPr>
        <w:ind w:left="360"/>
        <w:rPr>
          <w:bCs/>
          <w:iCs/>
        </w:rPr>
      </w:pPr>
      <w:r>
        <w:rPr>
          <w:bCs/>
          <w:iCs/>
        </w:rPr>
        <w:t xml:space="preserve">dove </w:t>
      </w:r>
    </w:p>
    <w:p w:rsidR="00A16116" w:rsidRPr="00EA7DC4" w:rsidRDefault="00A16116" w:rsidP="00A16116">
      <w:pPr>
        <w:pStyle w:val="Rientrocorpodeltesto2"/>
        <w:numPr>
          <w:ilvl w:val="0"/>
          <w:numId w:val="0"/>
        </w:numPr>
        <w:ind w:left="360"/>
        <w:rPr>
          <w:bCs/>
          <w:iCs/>
        </w:rPr>
      </w:pPr>
      <w:r w:rsidRPr="00EA7DC4">
        <w:rPr>
          <w:bCs/>
          <w:iCs/>
        </w:rPr>
        <w:t>CG</w:t>
      </w:r>
      <w:r w:rsidRPr="00EA7DC4">
        <w:rPr>
          <w:bCs/>
          <w:iCs/>
          <w:vertAlign w:val="subscript"/>
        </w:rPr>
        <w:t>U</w:t>
      </w:r>
      <w:r w:rsidRPr="00EA7DC4">
        <w:rPr>
          <w:bCs/>
          <w:iCs/>
        </w:rPr>
        <w:t xml:space="preserve"> rappresenta il valore della cessione effettuata dall’Utente</w:t>
      </w:r>
      <w:r>
        <w:rPr>
          <w:bCs/>
          <w:iCs/>
        </w:rPr>
        <w:t>;</w:t>
      </w:r>
    </w:p>
    <w:p w:rsidR="00A16116" w:rsidRPr="00EA7DC4" w:rsidRDefault="00A16116" w:rsidP="00A16116">
      <w:pPr>
        <w:pStyle w:val="Rientrocorpodeltesto2"/>
        <w:numPr>
          <w:ilvl w:val="0"/>
          <w:numId w:val="0"/>
        </w:numPr>
        <w:ind w:left="360"/>
        <w:rPr>
          <w:bCs/>
          <w:iCs/>
        </w:rPr>
      </w:pPr>
      <w:proofErr w:type="spellStart"/>
      <w:r w:rsidRPr="00EA7DC4">
        <w:rPr>
          <w:bCs/>
          <w:iCs/>
        </w:rPr>
        <w:t>G</w:t>
      </w:r>
      <w:r w:rsidRPr="00EA7DC4">
        <w:rPr>
          <w:bCs/>
          <w:iCs/>
          <w:vertAlign w:val="subscript"/>
        </w:rPr>
        <w:t>Ui,m</w:t>
      </w:r>
      <w:proofErr w:type="spellEnd"/>
      <w:r w:rsidRPr="00EA7DC4">
        <w:rPr>
          <w:bCs/>
          <w:iCs/>
        </w:rPr>
        <w:t xml:space="preserve"> rappresenta la giacenza allocata la termine del mese M all’Utente</w:t>
      </w:r>
      <w:r>
        <w:rPr>
          <w:bCs/>
          <w:iCs/>
        </w:rPr>
        <w:t>;</w:t>
      </w:r>
      <w:r w:rsidRPr="00EA7DC4">
        <w:rPr>
          <w:bCs/>
          <w:iCs/>
        </w:rPr>
        <w:t xml:space="preserve"> </w:t>
      </w:r>
    </w:p>
    <w:p w:rsidR="00A16116" w:rsidRPr="00EA7DC4" w:rsidRDefault="00A16116" w:rsidP="00A16116">
      <w:pPr>
        <w:pStyle w:val="Rientrocorpodeltesto2"/>
        <w:numPr>
          <w:ilvl w:val="0"/>
          <w:numId w:val="0"/>
        </w:numPr>
        <w:ind w:left="360"/>
        <w:rPr>
          <w:bCs/>
          <w:iCs/>
        </w:rPr>
      </w:pPr>
      <w:proofErr w:type="spellStart"/>
      <w:r w:rsidRPr="00EA7DC4">
        <w:rPr>
          <w:bCs/>
          <w:iCs/>
        </w:rPr>
        <w:t>S</w:t>
      </w:r>
      <w:r w:rsidRPr="00EA7DC4">
        <w:rPr>
          <w:bCs/>
          <w:iCs/>
          <w:vertAlign w:val="subscript"/>
        </w:rPr>
        <w:t>ik</w:t>
      </w:r>
      <w:proofErr w:type="spellEnd"/>
      <w:r w:rsidRPr="00EA7DC4">
        <w:rPr>
          <w:bCs/>
          <w:iCs/>
        </w:rPr>
        <w:t>*</w:t>
      </w:r>
      <w:proofErr w:type="spellStart"/>
      <w:r w:rsidRPr="00FC384A">
        <w:rPr>
          <w:bCs/>
          <w:iCs/>
        </w:rPr>
        <w:t>G</w:t>
      </w:r>
      <w:r w:rsidRPr="00FC384A">
        <w:rPr>
          <w:bCs/>
          <w:iCs/>
          <w:highlight w:val="yellow"/>
          <w:vertAlign w:val="subscript"/>
        </w:rPr>
        <w:t>min</w:t>
      </w:r>
      <w:r w:rsidRPr="00FC384A">
        <w:rPr>
          <w:bCs/>
          <w:iCs/>
          <w:highlight w:val="yellow"/>
        </w:rPr>
        <w:t>,</w:t>
      </w:r>
      <w:r w:rsidRPr="00FC384A">
        <w:rPr>
          <w:bCs/>
          <w:iCs/>
          <w:highlight w:val="yellow"/>
          <w:vertAlign w:val="subscript"/>
        </w:rPr>
        <w:t>m</w:t>
      </w:r>
      <w:proofErr w:type="spellEnd"/>
      <w:r w:rsidRPr="00FC384A">
        <w:rPr>
          <w:bCs/>
          <w:iCs/>
          <w:highlight w:val="yellow"/>
          <w:vertAlign w:val="subscript"/>
        </w:rPr>
        <w:t>%</w:t>
      </w:r>
      <w:r w:rsidRPr="00EA7DC4">
        <w:rPr>
          <w:bCs/>
          <w:iCs/>
        </w:rPr>
        <w:t xml:space="preserve"> è la giacenza minima del mese M derivante dall’applicazione del profilo di utilizzo delle capacità relative ai prodotti con iniezione stagionale conferite ad inizio Anno Termico.</w:t>
      </w:r>
    </w:p>
    <w:p w:rsidR="00A16116" w:rsidRPr="00EA7DC4" w:rsidRDefault="00A16116" w:rsidP="00A16116">
      <w:pPr>
        <w:pStyle w:val="Rientrocorpodeltesto2"/>
        <w:numPr>
          <w:ilvl w:val="0"/>
          <w:numId w:val="0"/>
        </w:numPr>
        <w:ind w:left="360"/>
        <w:rPr>
          <w:bCs/>
          <w:iCs/>
        </w:rPr>
      </w:pPr>
    </w:p>
    <w:p w:rsidR="00A16116" w:rsidRPr="0013778D" w:rsidRDefault="00A16116" w:rsidP="00A16116">
      <w:pPr>
        <w:pStyle w:val="Rientrocorpodeltesto2"/>
        <w:numPr>
          <w:ilvl w:val="0"/>
          <w:numId w:val="0"/>
        </w:numPr>
        <w:ind w:left="360"/>
        <w:rPr>
          <w:bCs/>
          <w:iCs/>
          <w:highlight w:val="yellow"/>
        </w:rPr>
      </w:pPr>
      <w:r w:rsidRPr="0013778D">
        <w:rPr>
          <w:bCs/>
          <w:iCs/>
          <w:highlight w:val="yellow"/>
        </w:rPr>
        <w:t xml:space="preserve">Relativamente, invece, ai prodotti con iniezione stagionale conferite ad Anno Termico avviato, che hanno decorrenza nel mese M, in luogo del termine </w:t>
      </w:r>
      <w:proofErr w:type="spellStart"/>
      <w:r w:rsidRPr="0013778D">
        <w:rPr>
          <w:bCs/>
          <w:iCs/>
          <w:highlight w:val="yellow"/>
        </w:rPr>
        <w:t>G</w:t>
      </w:r>
      <w:r w:rsidRPr="00FC384A">
        <w:rPr>
          <w:bCs/>
          <w:iCs/>
          <w:highlight w:val="yellow"/>
          <w:vertAlign w:val="subscript"/>
        </w:rPr>
        <w:t>min</w:t>
      </w:r>
      <w:proofErr w:type="spellEnd"/>
      <w:r w:rsidRPr="00FC384A">
        <w:rPr>
          <w:bCs/>
          <w:iCs/>
          <w:highlight w:val="yellow"/>
          <w:vertAlign w:val="subscript"/>
        </w:rPr>
        <w:t xml:space="preserve">% </w:t>
      </w:r>
      <w:r w:rsidRPr="0013778D">
        <w:rPr>
          <w:bCs/>
          <w:iCs/>
          <w:highlight w:val="yellow"/>
        </w:rPr>
        <w:t>si applica il seguente rapporto pubblicato sul sito internet dell’Impresa di Stoccaggio:</w:t>
      </w:r>
    </w:p>
    <w:p w:rsidR="00A16116" w:rsidRPr="0013778D" w:rsidRDefault="00A16116" w:rsidP="00A16116">
      <w:pPr>
        <w:pStyle w:val="Rientrocorpodeltesto2"/>
        <w:numPr>
          <w:ilvl w:val="0"/>
          <w:numId w:val="0"/>
        </w:numPr>
        <w:ind w:left="360"/>
        <w:rPr>
          <w:bCs/>
          <w:iCs/>
          <w:highlight w:val="yellow"/>
        </w:rPr>
      </w:pPr>
    </w:p>
    <w:p w:rsidR="00A16116" w:rsidRPr="0013778D" w:rsidRDefault="00A16116" w:rsidP="00A16116">
      <w:pPr>
        <w:pStyle w:val="Rientrocorpodeltesto2"/>
        <w:numPr>
          <w:ilvl w:val="0"/>
          <w:numId w:val="0"/>
        </w:numPr>
        <w:ind w:left="-37"/>
        <w:jc w:val="center"/>
        <w:rPr>
          <w:bCs/>
          <w:iCs/>
          <w:highlight w:val="yellow"/>
        </w:rPr>
      </w:pPr>
      <w:proofErr w:type="spellStart"/>
      <w:r w:rsidRPr="00FC384A">
        <w:rPr>
          <w:bCs/>
          <w:iCs/>
          <w:highlight w:val="yellow"/>
        </w:rPr>
        <w:t>G</w:t>
      </w:r>
      <w:r w:rsidRPr="00FC384A">
        <w:rPr>
          <w:bCs/>
          <w:iCs/>
          <w:highlight w:val="yellow"/>
          <w:vertAlign w:val="subscript"/>
        </w:rPr>
        <w:t>min,m</w:t>
      </w:r>
      <w:proofErr w:type="spellEnd"/>
      <w:r w:rsidRPr="00FC384A">
        <w:rPr>
          <w:bCs/>
          <w:iCs/>
          <w:highlight w:val="yellow"/>
          <w:vertAlign w:val="subscript"/>
        </w:rPr>
        <w:t xml:space="preserve">% </w:t>
      </w:r>
      <w:proofErr w:type="spellStart"/>
      <w:r w:rsidRPr="00FC384A">
        <w:rPr>
          <w:bCs/>
          <w:iCs/>
          <w:highlight w:val="yellow"/>
          <w:vertAlign w:val="subscript"/>
        </w:rPr>
        <w:t>infr</w:t>
      </w:r>
      <w:proofErr w:type="spellEnd"/>
      <w:r w:rsidRPr="0013778D">
        <w:rPr>
          <w:bCs/>
          <w:iCs/>
          <w:highlight w:val="yellow"/>
        </w:rPr>
        <w:t xml:space="preserve"> = </w:t>
      </w:r>
      <m:oMath>
        <m:f>
          <m:fPr>
            <m:ctrlPr>
              <w:rPr>
                <w:rFonts w:ascii="Cambria Math" w:hAnsi="Cambria Math"/>
                <w:bCs/>
                <w:iCs/>
                <w:sz w:val="36"/>
                <w:szCs w:val="36"/>
                <w:highlight w:val="yellow"/>
              </w:rPr>
            </m:ctrlPr>
          </m:fPr>
          <m:num>
            <m:sSub>
              <m:sSubPr>
                <m:ctrlPr>
                  <w:rPr>
                    <w:rFonts w:ascii="Cambria Math" w:hAnsi="Cambria Math"/>
                    <w:sz w:val="36"/>
                    <w:szCs w:val="36"/>
                  </w:rPr>
                </m:ctrlPr>
              </m:sSubPr>
              <m:e>
                <m:r>
                  <m:rPr>
                    <m:sty m:val="p"/>
                  </m:rPr>
                  <w:rPr>
                    <w:rFonts w:ascii="Cambria Math" w:hAnsi="Cambria Math"/>
                    <w:sz w:val="36"/>
                    <w:szCs w:val="36"/>
                    <w:highlight w:val="yellow"/>
                  </w:rPr>
                  <m:t>G</m:t>
                </m:r>
              </m:e>
              <m:sub>
                <m:r>
                  <m:rPr>
                    <m:sty m:val="p"/>
                  </m:rPr>
                  <w:rPr>
                    <w:rFonts w:ascii="Cambria Math" w:hAnsi="Cambria Math"/>
                    <w:sz w:val="36"/>
                    <w:szCs w:val="36"/>
                    <w:highlight w:val="yellow"/>
                  </w:rPr>
                  <m:t>min,m%</m:t>
                </m:r>
              </m:sub>
            </m:sSub>
            <m:r>
              <m:rPr>
                <m:sty m:val="p"/>
              </m:rPr>
              <w:rPr>
                <w:rFonts w:ascii="Cambria Math" w:hAnsi="Cambria Math"/>
                <w:sz w:val="36"/>
                <w:szCs w:val="36"/>
                <w:highlight w:val="yellow"/>
              </w:rPr>
              <m:t>-</m:t>
            </m:r>
            <m:sSub>
              <m:sSubPr>
                <m:ctrlPr>
                  <w:rPr>
                    <w:rFonts w:ascii="Cambria Math" w:hAnsi="Cambria Math"/>
                    <w:sz w:val="36"/>
                    <w:szCs w:val="36"/>
                  </w:rPr>
                </m:ctrlPr>
              </m:sSubPr>
              <m:e>
                <m:r>
                  <m:rPr>
                    <m:sty m:val="p"/>
                  </m:rPr>
                  <w:rPr>
                    <w:rFonts w:ascii="Cambria Math" w:hAnsi="Cambria Math"/>
                    <w:sz w:val="36"/>
                    <w:szCs w:val="36"/>
                    <w:highlight w:val="yellow"/>
                  </w:rPr>
                  <m:t>G</m:t>
                </m:r>
              </m:e>
              <m:sub>
                <m:r>
                  <m:rPr>
                    <m:sty m:val="p"/>
                  </m:rPr>
                  <w:rPr>
                    <w:rFonts w:ascii="Cambria Math" w:hAnsi="Cambria Math"/>
                    <w:sz w:val="36"/>
                    <w:szCs w:val="36"/>
                    <w:highlight w:val="yellow"/>
                  </w:rPr>
                  <m:t>min,m-1%</m:t>
                </m:r>
              </m:sub>
            </m:sSub>
          </m:num>
          <m:den>
            <m:sSub>
              <m:sSubPr>
                <m:ctrlPr>
                  <w:rPr>
                    <w:rFonts w:ascii="Cambria Math" w:hAnsi="Cambria Math"/>
                    <w:sz w:val="36"/>
                    <w:szCs w:val="36"/>
                  </w:rPr>
                </m:ctrlPr>
              </m:sSubPr>
              <m:e>
                <m:r>
                  <m:rPr>
                    <m:sty m:val="p"/>
                  </m:rPr>
                  <w:rPr>
                    <w:rFonts w:ascii="Cambria Math" w:hAnsi="Cambria Math"/>
                    <w:sz w:val="36"/>
                    <w:szCs w:val="36"/>
                    <w:highlight w:val="yellow"/>
                  </w:rPr>
                  <m:t>G</m:t>
                </m:r>
              </m:e>
              <m:sub>
                <m:r>
                  <m:rPr>
                    <m:sty m:val="p"/>
                  </m:rPr>
                  <w:rPr>
                    <w:rFonts w:ascii="Cambria Math" w:hAnsi="Cambria Math"/>
                    <w:sz w:val="36"/>
                    <w:szCs w:val="36"/>
                    <w:highlight w:val="yellow"/>
                  </w:rPr>
                  <m:t>max,ottobre%</m:t>
                </m:r>
              </m:sub>
            </m:sSub>
            <m:r>
              <m:rPr>
                <m:sty m:val="p"/>
              </m:rPr>
              <w:rPr>
                <w:rFonts w:ascii="Cambria Math" w:hAnsi="Cambria Math"/>
                <w:sz w:val="36"/>
                <w:szCs w:val="36"/>
              </w:rPr>
              <m:t>-</m:t>
            </m:r>
            <m:sSub>
              <m:sSubPr>
                <m:ctrlPr>
                  <w:rPr>
                    <w:rFonts w:ascii="Cambria Math" w:hAnsi="Cambria Math"/>
                    <w:sz w:val="36"/>
                    <w:szCs w:val="36"/>
                  </w:rPr>
                </m:ctrlPr>
              </m:sSubPr>
              <m:e>
                <m:r>
                  <m:rPr>
                    <m:sty m:val="p"/>
                  </m:rPr>
                  <w:rPr>
                    <w:rFonts w:ascii="Cambria Math" w:hAnsi="Cambria Math"/>
                    <w:sz w:val="36"/>
                    <w:szCs w:val="36"/>
                    <w:highlight w:val="yellow"/>
                  </w:rPr>
                  <m:t>G</m:t>
                </m:r>
              </m:e>
              <m:sub>
                <m:r>
                  <m:rPr>
                    <m:sty m:val="p"/>
                  </m:rPr>
                  <w:rPr>
                    <w:rFonts w:ascii="Cambria Math" w:hAnsi="Cambria Math"/>
                    <w:sz w:val="36"/>
                    <w:szCs w:val="36"/>
                    <w:highlight w:val="yellow"/>
                  </w:rPr>
                  <m:t>min,m-1%</m:t>
                </m:r>
              </m:sub>
            </m:sSub>
          </m:den>
        </m:f>
      </m:oMath>
    </w:p>
    <w:p w:rsidR="00A16116" w:rsidRPr="0013778D" w:rsidRDefault="00A16116" w:rsidP="00A16116">
      <w:pPr>
        <w:pStyle w:val="Rientrocorpodeltesto2"/>
        <w:numPr>
          <w:ilvl w:val="0"/>
          <w:numId w:val="0"/>
        </w:numPr>
        <w:ind w:left="851"/>
        <w:rPr>
          <w:bCs/>
          <w:iCs/>
          <w:highlight w:val="yellow"/>
        </w:rPr>
      </w:pPr>
    </w:p>
    <w:p w:rsidR="00A16116" w:rsidRPr="0013778D" w:rsidRDefault="00A16116" w:rsidP="00A16116">
      <w:pPr>
        <w:pStyle w:val="Rientrocorpodeltesto2"/>
        <w:numPr>
          <w:ilvl w:val="0"/>
          <w:numId w:val="0"/>
        </w:numPr>
        <w:ind w:left="426"/>
        <w:rPr>
          <w:bCs/>
          <w:iCs/>
          <w:highlight w:val="yellow"/>
        </w:rPr>
      </w:pPr>
      <w:r w:rsidRPr="0013778D">
        <w:rPr>
          <w:bCs/>
          <w:iCs/>
          <w:highlight w:val="yellow"/>
        </w:rPr>
        <w:t xml:space="preserve">Alle capacità relative a prodotti mensili che hanno decorrenza dal mese M, i termini </w:t>
      </w:r>
      <w:proofErr w:type="spellStart"/>
      <w:r w:rsidRPr="0013778D">
        <w:rPr>
          <w:bCs/>
          <w:iCs/>
          <w:highlight w:val="yellow"/>
        </w:rPr>
        <w:t>G</w:t>
      </w:r>
      <w:r w:rsidRPr="00FC384A">
        <w:rPr>
          <w:bCs/>
          <w:iCs/>
          <w:highlight w:val="yellow"/>
          <w:vertAlign w:val="subscript"/>
        </w:rPr>
        <w:t>min,m</w:t>
      </w:r>
      <w:proofErr w:type="spellEnd"/>
      <w:r w:rsidRPr="00FC384A">
        <w:rPr>
          <w:bCs/>
          <w:iCs/>
          <w:highlight w:val="yellow"/>
          <w:vertAlign w:val="subscript"/>
        </w:rPr>
        <w:t xml:space="preserve">% </w:t>
      </w:r>
      <w:r w:rsidRPr="0013778D">
        <w:rPr>
          <w:bCs/>
          <w:iCs/>
          <w:highlight w:val="yellow"/>
        </w:rPr>
        <w:t xml:space="preserve">e </w:t>
      </w:r>
      <w:proofErr w:type="spellStart"/>
      <w:r w:rsidRPr="0013778D">
        <w:rPr>
          <w:bCs/>
          <w:iCs/>
          <w:highlight w:val="yellow"/>
        </w:rPr>
        <w:t>G</w:t>
      </w:r>
      <w:r w:rsidRPr="00FC384A">
        <w:rPr>
          <w:bCs/>
          <w:iCs/>
          <w:highlight w:val="yellow"/>
          <w:vertAlign w:val="subscript"/>
        </w:rPr>
        <w:t>max,m</w:t>
      </w:r>
      <w:proofErr w:type="spellEnd"/>
      <w:r w:rsidRPr="00FC384A">
        <w:rPr>
          <w:bCs/>
          <w:iCs/>
          <w:highlight w:val="yellow"/>
          <w:vertAlign w:val="subscript"/>
        </w:rPr>
        <w:t>%</w:t>
      </w:r>
      <w:r w:rsidRPr="0013778D">
        <w:rPr>
          <w:bCs/>
          <w:iCs/>
          <w:highlight w:val="yellow"/>
        </w:rPr>
        <w:t xml:space="preserve"> sono posti pari a 1 dal mese M sino all’ultimo mese della fase di iniezione.</w:t>
      </w:r>
    </w:p>
    <w:p w:rsidR="00A16116" w:rsidRPr="0013778D" w:rsidRDefault="00A16116" w:rsidP="00A16116">
      <w:pPr>
        <w:pStyle w:val="Rientrocorpodeltesto2"/>
        <w:numPr>
          <w:ilvl w:val="0"/>
          <w:numId w:val="0"/>
        </w:numPr>
        <w:ind w:left="360"/>
        <w:rPr>
          <w:bCs/>
          <w:iCs/>
          <w:highlight w:val="yellow"/>
        </w:rPr>
      </w:pPr>
    </w:p>
    <w:p w:rsidR="00A16116" w:rsidRPr="0013778D" w:rsidRDefault="00A16116" w:rsidP="00A16116">
      <w:pPr>
        <w:pStyle w:val="Rientrocorpodeltesto2"/>
        <w:numPr>
          <w:ilvl w:val="0"/>
          <w:numId w:val="0"/>
        </w:numPr>
        <w:ind w:left="360"/>
        <w:rPr>
          <w:bCs/>
          <w:iCs/>
          <w:highlight w:val="yellow"/>
        </w:rPr>
      </w:pPr>
    </w:p>
    <w:p w:rsidR="00A16116" w:rsidRDefault="00A16116" w:rsidP="00A16116">
      <w:pPr>
        <w:pStyle w:val="Rientrocorpodeltesto2"/>
        <w:numPr>
          <w:ilvl w:val="0"/>
          <w:numId w:val="0"/>
        </w:numPr>
        <w:ind w:left="426"/>
        <w:rPr>
          <w:bCs/>
          <w:iCs/>
        </w:rPr>
      </w:pPr>
      <w:r w:rsidRPr="0013778D">
        <w:rPr>
          <w:bCs/>
          <w:iCs/>
          <w:highlight w:val="yellow"/>
        </w:rPr>
        <w:lastRenderedPageBreak/>
        <w:t>Per gli Utenti cui sia stata conferita Capacità di Stoccaggio di Modulazione per più prodotti stagionali ovvero mensili, si considerano le giacenze determinate come somma delle giacenze calcolate sulla bas</w:t>
      </w:r>
      <w:r>
        <w:rPr>
          <w:bCs/>
          <w:iCs/>
          <w:highlight w:val="yellow"/>
        </w:rPr>
        <w:t xml:space="preserve">e dei termini </w:t>
      </w:r>
      <w:proofErr w:type="spellStart"/>
      <w:r>
        <w:rPr>
          <w:bCs/>
          <w:iCs/>
          <w:highlight w:val="yellow"/>
        </w:rPr>
        <w:t>G</w:t>
      </w:r>
      <w:r w:rsidRPr="00FC384A">
        <w:rPr>
          <w:bCs/>
          <w:iCs/>
          <w:highlight w:val="yellow"/>
          <w:vertAlign w:val="subscript"/>
        </w:rPr>
        <w:t>min,m</w:t>
      </w:r>
      <w:proofErr w:type="spellEnd"/>
      <w:r w:rsidRPr="00FC384A">
        <w:rPr>
          <w:bCs/>
          <w:iCs/>
          <w:highlight w:val="yellow"/>
          <w:vertAlign w:val="subscript"/>
        </w:rPr>
        <w:t xml:space="preserve">% </w:t>
      </w:r>
      <w:r>
        <w:rPr>
          <w:bCs/>
          <w:iCs/>
          <w:highlight w:val="yellow"/>
        </w:rPr>
        <w:t xml:space="preserve">, </w:t>
      </w:r>
      <w:proofErr w:type="spellStart"/>
      <w:r>
        <w:rPr>
          <w:bCs/>
          <w:iCs/>
          <w:highlight w:val="yellow"/>
        </w:rPr>
        <w:t>G</w:t>
      </w:r>
      <w:r w:rsidRPr="00FC384A">
        <w:rPr>
          <w:bCs/>
          <w:iCs/>
          <w:highlight w:val="yellow"/>
          <w:vertAlign w:val="subscript"/>
        </w:rPr>
        <w:t>max,m</w:t>
      </w:r>
      <w:proofErr w:type="spellEnd"/>
      <w:r w:rsidRPr="00FC384A">
        <w:rPr>
          <w:bCs/>
          <w:iCs/>
          <w:highlight w:val="yellow"/>
          <w:vertAlign w:val="subscript"/>
        </w:rPr>
        <w:t>%</w:t>
      </w:r>
      <w:r w:rsidRPr="0013778D">
        <w:rPr>
          <w:bCs/>
          <w:iCs/>
          <w:highlight w:val="yellow"/>
        </w:rPr>
        <w:t xml:space="preserve">, </w:t>
      </w:r>
      <w:proofErr w:type="spellStart"/>
      <w:r w:rsidRPr="0013778D">
        <w:rPr>
          <w:bCs/>
          <w:iCs/>
          <w:highlight w:val="yellow"/>
        </w:rPr>
        <w:t>G</w:t>
      </w:r>
      <w:r w:rsidRPr="00FC384A">
        <w:rPr>
          <w:bCs/>
          <w:iCs/>
          <w:highlight w:val="yellow"/>
          <w:vertAlign w:val="subscript"/>
        </w:rPr>
        <w:t>min,m%infr</w:t>
      </w:r>
      <w:proofErr w:type="spellEnd"/>
      <w:r w:rsidRPr="0013778D">
        <w:rPr>
          <w:bCs/>
          <w:iCs/>
          <w:highlight w:val="yellow"/>
        </w:rPr>
        <w:t xml:space="preserve"> , </w:t>
      </w:r>
      <w:proofErr w:type="spellStart"/>
      <w:r w:rsidRPr="0013778D">
        <w:rPr>
          <w:bCs/>
          <w:iCs/>
          <w:highlight w:val="yellow"/>
        </w:rPr>
        <w:t>G</w:t>
      </w:r>
      <w:r w:rsidRPr="00FC384A">
        <w:rPr>
          <w:bCs/>
          <w:iCs/>
          <w:highlight w:val="yellow"/>
          <w:vertAlign w:val="subscript"/>
        </w:rPr>
        <w:t>max,m%infr</w:t>
      </w:r>
      <w:proofErr w:type="spellEnd"/>
      <w:r w:rsidRPr="0013778D">
        <w:rPr>
          <w:bCs/>
          <w:iCs/>
          <w:highlight w:val="yellow"/>
        </w:rPr>
        <w:t>, come pubblicati sul sito internet dell’Impresa di Stoccaggio.</w:t>
      </w:r>
    </w:p>
    <w:p w:rsidR="00A16116" w:rsidRPr="00DD60A9" w:rsidRDefault="00A16116" w:rsidP="00A16116">
      <w:pPr>
        <w:pStyle w:val="Titolo3"/>
        <w:ind w:left="360"/>
      </w:pPr>
      <w:bookmarkStart w:id="35" w:name="_Toc156200528"/>
      <w:bookmarkStart w:id="36" w:name="_Toc156200622"/>
      <w:bookmarkStart w:id="37" w:name="_Toc156207597"/>
      <w:bookmarkStart w:id="38" w:name="_Toc156200529"/>
      <w:bookmarkStart w:id="39" w:name="_Toc156200623"/>
      <w:bookmarkStart w:id="40" w:name="_Toc156207598"/>
      <w:bookmarkStart w:id="41" w:name="_Toc363031702"/>
      <w:bookmarkEnd w:id="35"/>
      <w:bookmarkEnd w:id="36"/>
      <w:bookmarkEnd w:id="37"/>
      <w:bookmarkEnd w:id="38"/>
      <w:bookmarkEnd w:id="39"/>
      <w:bookmarkEnd w:id="40"/>
      <w:r w:rsidRPr="00DD60A9">
        <w:t xml:space="preserve">Giacenza </w:t>
      </w:r>
      <w:r>
        <w:rPr>
          <w:rFonts w:cs="Arial"/>
        </w:rPr>
        <w:t>massima in Iniezione</w:t>
      </w:r>
      <w:bookmarkEnd w:id="41"/>
    </w:p>
    <w:p w:rsidR="00A16116" w:rsidRPr="00DD60A9" w:rsidRDefault="00A16116" w:rsidP="00A16116">
      <w:pPr>
        <w:pStyle w:val="Rientrocorpodeltesto2"/>
        <w:numPr>
          <w:ilvl w:val="0"/>
          <w:numId w:val="0"/>
        </w:numPr>
        <w:ind w:left="360"/>
        <w:rPr>
          <w:bCs/>
          <w:iCs/>
        </w:rPr>
      </w:pPr>
      <w:r>
        <w:t xml:space="preserve">Qualora risulti dalle Allocazioni che, al termine del mese M, la giacenza </w:t>
      </w:r>
      <w:proofErr w:type="spellStart"/>
      <w:r w:rsidRPr="003628EB">
        <w:t>G</w:t>
      </w:r>
      <w:r w:rsidRPr="003628EB">
        <w:rPr>
          <w:vertAlign w:val="subscript"/>
        </w:rPr>
        <w:t>U</w:t>
      </w:r>
      <w:r>
        <w:rPr>
          <w:vertAlign w:val="subscript"/>
        </w:rPr>
        <w:t>i</w:t>
      </w:r>
      <w:r w:rsidRPr="003628EB">
        <w:rPr>
          <w:vertAlign w:val="subscript"/>
        </w:rPr>
        <w:t>g</w:t>
      </w:r>
      <w:proofErr w:type="spellEnd"/>
      <w:r>
        <w:t xml:space="preserve"> dell</w:t>
      </w:r>
      <w:r w:rsidRPr="003628EB">
        <w:t>’Utente</w:t>
      </w:r>
      <w:r>
        <w:t>, calcolata ai sensi del paragrafo 8.2 del presente capitolo</w:t>
      </w:r>
      <w:r w:rsidRPr="00DD60A9">
        <w:rPr>
          <w:bCs/>
          <w:iCs/>
        </w:rPr>
        <w:t xml:space="preserve">, </w:t>
      </w:r>
      <w:r>
        <w:rPr>
          <w:bCs/>
          <w:iCs/>
        </w:rPr>
        <w:t>sia</w:t>
      </w:r>
      <w:r w:rsidRPr="00DD60A9">
        <w:rPr>
          <w:bCs/>
          <w:iCs/>
        </w:rPr>
        <w:t xml:space="preserve"> </w:t>
      </w:r>
      <w:r>
        <w:rPr>
          <w:bCs/>
          <w:iCs/>
        </w:rPr>
        <w:t>superiore</w:t>
      </w:r>
      <w:r w:rsidRPr="00DD60A9">
        <w:rPr>
          <w:bCs/>
          <w:iCs/>
        </w:rPr>
        <w:t xml:space="preserve"> rispetto alla giacenza m</w:t>
      </w:r>
      <w:r>
        <w:rPr>
          <w:bCs/>
          <w:iCs/>
        </w:rPr>
        <w:t>assima</w:t>
      </w:r>
      <w:r w:rsidRPr="00DD60A9">
        <w:rPr>
          <w:bCs/>
          <w:iCs/>
        </w:rPr>
        <w:t xml:space="preserve"> definita </w:t>
      </w:r>
      <w:r>
        <w:rPr>
          <w:bCs/>
          <w:iCs/>
        </w:rPr>
        <w:t>dai profili di utilizzo di cui al capitolo “Descrizione degli impianti di stoccaggio e della relativa gestione”</w:t>
      </w:r>
      <w:r w:rsidRPr="00DD60A9">
        <w:rPr>
          <w:bCs/>
          <w:iCs/>
        </w:rPr>
        <w:t xml:space="preserve"> l’</w:t>
      </w:r>
      <w:r>
        <w:rPr>
          <w:bCs/>
          <w:iCs/>
        </w:rPr>
        <w:t>U</w:t>
      </w:r>
      <w:r w:rsidRPr="00DD60A9">
        <w:rPr>
          <w:bCs/>
          <w:iCs/>
        </w:rPr>
        <w:t>tente può</w:t>
      </w:r>
      <w:r w:rsidRPr="00540A3C">
        <w:rPr>
          <w:bCs/>
          <w:iCs/>
        </w:rPr>
        <w:t xml:space="preserve"> cedere le quantità di gas in eccesso mediante una cessione di gas</w:t>
      </w:r>
      <w:r w:rsidRPr="00540A3C">
        <w:t xml:space="preserve"> ai sensi del paragrafo 7.4 del capitolo “Transazioni di capacità e gas”</w:t>
      </w:r>
      <w:r w:rsidRPr="00540A3C">
        <w:rPr>
          <w:bCs/>
          <w:iCs/>
        </w:rPr>
        <w:t>, entro quindici giorni dalla data di ricevimento</w:t>
      </w:r>
      <w:r w:rsidRPr="00DD60A9">
        <w:rPr>
          <w:bCs/>
          <w:iCs/>
        </w:rPr>
        <w:t xml:space="preserve"> dei dati circa la sua posizione, corretti da eventuali errori di misura.</w:t>
      </w:r>
    </w:p>
    <w:p w:rsidR="00A16116" w:rsidRPr="00FB629C" w:rsidRDefault="00A16116" w:rsidP="00A16116">
      <w:pPr>
        <w:pStyle w:val="Rientrocorpodeltesto2"/>
        <w:numPr>
          <w:ilvl w:val="0"/>
          <w:numId w:val="0"/>
        </w:numPr>
        <w:ind w:left="360"/>
        <w:rPr>
          <w:bCs/>
          <w:iCs/>
        </w:rPr>
      </w:pPr>
      <w:r w:rsidRPr="00FB629C">
        <w:rPr>
          <w:bCs/>
          <w:iCs/>
        </w:rPr>
        <w:t xml:space="preserve">Qualora l’Utente non ponga in essere la sopraccitata azione in modo tale </w:t>
      </w:r>
      <w:r w:rsidRPr="003F0DE4">
        <w:rPr>
          <w:bCs/>
          <w:iCs/>
          <w:highlight w:val="yellow"/>
        </w:rPr>
        <w:t>da compensare completamente la differenza rilevata e qualora, al termine di ciascun mese della fase di iniezione, la giacenza complessiva di gas in stoccaggio risulti superiore a quella individuata con riferimento al complesso dei profili di utilizzo di tutti gli utenti,</w:t>
      </w:r>
      <w:r w:rsidRPr="00FB629C">
        <w:rPr>
          <w:bCs/>
          <w:iCs/>
        </w:rPr>
        <w:t xml:space="preserve"> si applica alla differenza, se positiva, fra la suddetta giacenza massima e la giacenza dell’Utente </w:t>
      </w:r>
      <w:proofErr w:type="spellStart"/>
      <w:r w:rsidRPr="00FB629C">
        <w:rPr>
          <w:bCs/>
          <w:iCs/>
        </w:rPr>
        <w:t>G</w:t>
      </w:r>
      <w:r w:rsidRPr="00FB629C">
        <w:rPr>
          <w:bCs/>
          <w:iCs/>
          <w:vertAlign w:val="subscript"/>
        </w:rPr>
        <w:t>UiM</w:t>
      </w:r>
      <w:proofErr w:type="spellEnd"/>
      <w:r w:rsidRPr="00FB629C">
        <w:rPr>
          <w:bCs/>
          <w:iCs/>
        </w:rPr>
        <w:t xml:space="preserve">, corretta per tenere conto delle parziali cessioni, un corrispettivo pari a 0,2 volte il corrispettivo unitario di spazio </w:t>
      </w:r>
      <w:proofErr w:type="spellStart"/>
      <w:r w:rsidRPr="00FB629C">
        <w:rPr>
          <w:bCs/>
          <w:iCs/>
        </w:rPr>
        <w:t>f</w:t>
      </w:r>
      <w:r w:rsidRPr="00FB629C">
        <w:rPr>
          <w:bCs/>
          <w:iCs/>
          <w:vertAlign w:val="subscript"/>
        </w:rPr>
        <w:t>s</w:t>
      </w:r>
      <w:proofErr w:type="spellEnd"/>
      <w:r w:rsidRPr="00FB629C">
        <w:rPr>
          <w:bCs/>
          <w:iCs/>
        </w:rPr>
        <w:t>, secondo la seguente formula:</w:t>
      </w:r>
    </w:p>
    <w:p w:rsidR="00A16116" w:rsidRDefault="00A16116" w:rsidP="00A16116">
      <w:pPr>
        <w:pStyle w:val="Rientrocorpodeltesto2"/>
        <w:numPr>
          <w:ilvl w:val="0"/>
          <w:numId w:val="0"/>
        </w:numPr>
        <w:ind w:left="360"/>
        <w:rPr>
          <w:bCs/>
          <w:iCs/>
        </w:rPr>
      </w:pPr>
    </w:p>
    <w:p w:rsidR="00A16116" w:rsidRPr="006C6A3B" w:rsidRDefault="00A16116" w:rsidP="00A16116">
      <w:pPr>
        <w:pStyle w:val="Rientrocorpodeltesto2"/>
        <w:numPr>
          <w:ilvl w:val="0"/>
          <w:numId w:val="0"/>
        </w:numPr>
        <w:ind w:left="360"/>
        <w:rPr>
          <w:bCs/>
          <w:iCs/>
        </w:rPr>
      </w:pPr>
      <w:r w:rsidRPr="006C6A3B">
        <w:rPr>
          <w:bCs/>
          <w:iCs/>
        </w:rPr>
        <w:t>(</w:t>
      </w:r>
      <w:proofErr w:type="spellStart"/>
      <w:r w:rsidRPr="006C6A3B">
        <w:rPr>
          <w:bCs/>
          <w:iCs/>
        </w:rPr>
        <w:t>S</w:t>
      </w:r>
      <w:r w:rsidRPr="006C6A3B">
        <w:rPr>
          <w:bCs/>
          <w:iCs/>
          <w:vertAlign w:val="subscript"/>
        </w:rPr>
        <w:t>ik</w:t>
      </w:r>
      <w:proofErr w:type="spellEnd"/>
      <w:r w:rsidRPr="006C6A3B">
        <w:rPr>
          <w:bCs/>
          <w:iCs/>
        </w:rPr>
        <w:t>*</w:t>
      </w:r>
      <w:proofErr w:type="spellStart"/>
      <w:r w:rsidRPr="006C6A3B">
        <w:rPr>
          <w:bCs/>
          <w:iCs/>
          <w:highlight w:val="yellow"/>
        </w:rPr>
        <w:t>G</w:t>
      </w:r>
      <w:r w:rsidRPr="006C6A3B">
        <w:rPr>
          <w:bCs/>
          <w:iCs/>
          <w:highlight w:val="yellow"/>
          <w:vertAlign w:val="subscript"/>
        </w:rPr>
        <w:t>max</w:t>
      </w:r>
      <w:proofErr w:type="spellEnd"/>
      <w:r w:rsidRPr="006C6A3B">
        <w:rPr>
          <w:bCs/>
          <w:iCs/>
          <w:highlight w:val="yellow"/>
          <w:vertAlign w:val="subscript"/>
        </w:rPr>
        <w:t>%</w:t>
      </w:r>
      <w:r w:rsidRPr="006C6A3B">
        <w:rPr>
          <w:bCs/>
          <w:iCs/>
        </w:rPr>
        <w:t xml:space="preserve"> - </w:t>
      </w:r>
      <w:proofErr w:type="spellStart"/>
      <w:r w:rsidRPr="006C6A3B">
        <w:rPr>
          <w:bCs/>
          <w:iCs/>
          <w:highlight w:val="yellow"/>
        </w:rPr>
        <w:t>G</w:t>
      </w:r>
      <w:r w:rsidRPr="006C6A3B">
        <w:rPr>
          <w:bCs/>
          <w:iCs/>
          <w:highlight w:val="yellow"/>
          <w:vertAlign w:val="subscript"/>
        </w:rPr>
        <w:t>Uim</w:t>
      </w:r>
      <w:proofErr w:type="spellEnd"/>
      <w:r w:rsidRPr="006C6A3B">
        <w:rPr>
          <w:bCs/>
          <w:iCs/>
        </w:rPr>
        <w:t xml:space="preserve"> - CG</w:t>
      </w:r>
      <w:r w:rsidRPr="006C6A3B">
        <w:rPr>
          <w:bCs/>
          <w:iCs/>
          <w:vertAlign w:val="subscript"/>
        </w:rPr>
        <w:t>U</w:t>
      </w:r>
      <w:r w:rsidRPr="006C6A3B">
        <w:rPr>
          <w:bCs/>
          <w:iCs/>
        </w:rPr>
        <w:t>) * 0,2*</w:t>
      </w:r>
      <w:proofErr w:type="spellStart"/>
      <w:r w:rsidRPr="006C6A3B">
        <w:rPr>
          <w:bCs/>
          <w:iCs/>
        </w:rPr>
        <w:t>f</w:t>
      </w:r>
      <w:r w:rsidRPr="006C6A3B">
        <w:rPr>
          <w:bCs/>
          <w:iCs/>
          <w:vertAlign w:val="subscript"/>
        </w:rPr>
        <w:t>s</w:t>
      </w:r>
      <w:proofErr w:type="spellEnd"/>
    </w:p>
    <w:p w:rsidR="00A16116" w:rsidRPr="006C6A3B" w:rsidRDefault="00A16116" w:rsidP="00A16116">
      <w:pPr>
        <w:pStyle w:val="Rientrocorpodeltesto2"/>
        <w:numPr>
          <w:ilvl w:val="0"/>
          <w:numId w:val="0"/>
        </w:numPr>
        <w:ind w:left="360"/>
        <w:rPr>
          <w:bCs/>
          <w:iCs/>
        </w:rPr>
      </w:pPr>
    </w:p>
    <w:p w:rsidR="00A16116" w:rsidRPr="006C6A3B" w:rsidRDefault="00A16116" w:rsidP="00A16116">
      <w:pPr>
        <w:pStyle w:val="Rientrocorpodeltesto2"/>
        <w:numPr>
          <w:ilvl w:val="0"/>
          <w:numId w:val="0"/>
        </w:numPr>
        <w:ind w:left="360"/>
        <w:rPr>
          <w:bCs/>
          <w:iCs/>
        </w:rPr>
      </w:pPr>
      <w:r w:rsidRPr="006C6A3B">
        <w:rPr>
          <w:bCs/>
          <w:iCs/>
        </w:rPr>
        <w:t xml:space="preserve">dove </w:t>
      </w:r>
    </w:p>
    <w:p w:rsidR="00A16116" w:rsidRPr="0013778D" w:rsidRDefault="00A16116" w:rsidP="00A16116">
      <w:pPr>
        <w:pStyle w:val="Rientrocorpodeltesto2"/>
        <w:numPr>
          <w:ilvl w:val="0"/>
          <w:numId w:val="0"/>
        </w:numPr>
        <w:ind w:left="360"/>
        <w:rPr>
          <w:bCs/>
          <w:iCs/>
          <w:highlight w:val="yellow"/>
        </w:rPr>
      </w:pPr>
      <w:r w:rsidRPr="006C6A3B">
        <w:rPr>
          <w:bCs/>
          <w:iCs/>
        </w:rPr>
        <w:t>CG</w:t>
      </w:r>
      <w:r w:rsidRPr="006C6A3B">
        <w:rPr>
          <w:bCs/>
          <w:iCs/>
          <w:vertAlign w:val="subscript"/>
        </w:rPr>
        <w:t>U</w:t>
      </w:r>
      <w:r w:rsidRPr="006C6A3B">
        <w:rPr>
          <w:bCs/>
          <w:iCs/>
        </w:rPr>
        <w:t xml:space="preserve"> rappresenta il valore della cessione effettuata dall’Utente </w:t>
      </w:r>
    </w:p>
    <w:p w:rsidR="00A16116" w:rsidRPr="0013778D" w:rsidRDefault="00A16116" w:rsidP="00A16116">
      <w:pPr>
        <w:pStyle w:val="Rientrocorpodeltesto2"/>
        <w:numPr>
          <w:ilvl w:val="0"/>
          <w:numId w:val="0"/>
        </w:numPr>
        <w:ind w:left="360"/>
        <w:rPr>
          <w:bCs/>
          <w:iCs/>
          <w:highlight w:val="yellow"/>
        </w:rPr>
      </w:pPr>
      <w:proofErr w:type="spellStart"/>
      <w:r w:rsidRPr="0013778D">
        <w:rPr>
          <w:bCs/>
          <w:iCs/>
          <w:highlight w:val="yellow"/>
        </w:rPr>
        <w:t>G</w:t>
      </w:r>
      <w:r w:rsidRPr="0013778D">
        <w:rPr>
          <w:bCs/>
          <w:iCs/>
          <w:highlight w:val="yellow"/>
          <w:vertAlign w:val="subscript"/>
        </w:rPr>
        <w:t>Uim</w:t>
      </w:r>
      <w:proofErr w:type="spellEnd"/>
      <w:r w:rsidRPr="0013778D">
        <w:rPr>
          <w:bCs/>
          <w:iCs/>
          <w:highlight w:val="yellow"/>
        </w:rPr>
        <w:t xml:space="preserve"> </w:t>
      </w:r>
      <w:r w:rsidRPr="006C6A3B">
        <w:rPr>
          <w:bCs/>
          <w:iCs/>
        </w:rPr>
        <w:t>rappresenta la giacenza allocata al termine del mese M all’Utente</w:t>
      </w:r>
    </w:p>
    <w:p w:rsidR="00A16116" w:rsidRPr="0013778D" w:rsidRDefault="00A16116" w:rsidP="00A16116">
      <w:pPr>
        <w:pStyle w:val="Rientrocorpodeltesto2"/>
        <w:numPr>
          <w:ilvl w:val="0"/>
          <w:numId w:val="0"/>
        </w:numPr>
        <w:ind w:left="360"/>
        <w:rPr>
          <w:bCs/>
          <w:iCs/>
          <w:highlight w:val="yellow"/>
        </w:rPr>
      </w:pPr>
      <w:proofErr w:type="spellStart"/>
      <w:r w:rsidRPr="006C6A3B">
        <w:rPr>
          <w:bCs/>
          <w:iCs/>
        </w:rPr>
        <w:t>S</w:t>
      </w:r>
      <w:r w:rsidRPr="006C6A3B">
        <w:rPr>
          <w:bCs/>
          <w:iCs/>
          <w:vertAlign w:val="subscript"/>
        </w:rPr>
        <w:t>ik</w:t>
      </w:r>
      <w:proofErr w:type="spellEnd"/>
      <w:r w:rsidRPr="006C6A3B">
        <w:rPr>
          <w:bCs/>
          <w:iCs/>
        </w:rPr>
        <w:t>*</w:t>
      </w:r>
      <w:proofErr w:type="spellStart"/>
      <w:r w:rsidRPr="006C6A3B">
        <w:rPr>
          <w:bCs/>
          <w:iCs/>
          <w:highlight w:val="yellow"/>
        </w:rPr>
        <w:t>G</w:t>
      </w:r>
      <w:r w:rsidRPr="006C6A3B">
        <w:rPr>
          <w:bCs/>
          <w:iCs/>
          <w:highlight w:val="yellow"/>
          <w:vertAlign w:val="subscript"/>
        </w:rPr>
        <w:t>max,m</w:t>
      </w:r>
      <w:proofErr w:type="spellEnd"/>
      <w:r w:rsidRPr="006C6A3B">
        <w:rPr>
          <w:bCs/>
          <w:iCs/>
          <w:highlight w:val="yellow"/>
          <w:vertAlign w:val="subscript"/>
        </w:rPr>
        <w:t>%</w:t>
      </w:r>
      <w:r w:rsidRPr="006C6A3B">
        <w:rPr>
          <w:bCs/>
          <w:iCs/>
        </w:rPr>
        <w:t xml:space="preserve"> è la giacenza massima del mese M derivante dall’applicazione del profilo di utilizzo </w:t>
      </w:r>
      <w:r w:rsidRPr="0013778D">
        <w:rPr>
          <w:bCs/>
          <w:iCs/>
          <w:highlight w:val="yellow"/>
        </w:rPr>
        <w:t>delle capacità relative ai prodotti con iniezione stagionale conferite ad inizio Anno Termico.</w:t>
      </w:r>
    </w:p>
    <w:p w:rsidR="00A16116" w:rsidRPr="0013778D" w:rsidRDefault="00A16116" w:rsidP="00A16116">
      <w:pPr>
        <w:pStyle w:val="Rientrocorpodeltesto"/>
        <w:numPr>
          <w:ilvl w:val="0"/>
          <w:numId w:val="0"/>
        </w:numPr>
        <w:tabs>
          <w:tab w:val="num" w:pos="2160"/>
        </w:tabs>
        <w:ind w:left="360" w:right="405"/>
        <w:rPr>
          <w:bCs/>
          <w:iCs/>
          <w:highlight w:val="yellow"/>
        </w:rPr>
      </w:pPr>
    </w:p>
    <w:p w:rsidR="00A16116" w:rsidRPr="0013778D" w:rsidRDefault="00A16116" w:rsidP="00A16116">
      <w:pPr>
        <w:pStyle w:val="Rientrocorpodeltesto2"/>
        <w:numPr>
          <w:ilvl w:val="0"/>
          <w:numId w:val="0"/>
        </w:numPr>
        <w:ind w:left="360"/>
        <w:rPr>
          <w:bCs/>
          <w:iCs/>
          <w:highlight w:val="yellow"/>
        </w:rPr>
      </w:pPr>
      <w:r w:rsidRPr="0013778D">
        <w:rPr>
          <w:bCs/>
          <w:iCs/>
          <w:highlight w:val="yellow"/>
        </w:rPr>
        <w:t xml:space="preserve">Relativamente, invece, ai prodotti con iniezione stagionale conferite ad Anno Termico avviato, che hanno decorrenza nel mese M, in luogo del termine </w:t>
      </w:r>
      <w:proofErr w:type="spellStart"/>
      <w:r w:rsidRPr="0013778D">
        <w:rPr>
          <w:bCs/>
          <w:iCs/>
          <w:highlight w:val="yellow"/>
        </w:rPr>
        <w:t>G</w:t>
      </w:r>
      <w:r w:rsidRPr="006C6A3B">
        <w:rPr>
          <w:bCs/>
          <w:iCs/>
          <w:highlight w:val="yellow"/>
          <w:vertAlign w:val="subscript"/>
        </w:rPr>
        <w:t>min</w:t>
      </w:r>
      <w:proofErr w:type="spellEnd"/>
      <w:r w:rsidRPr="006C6A3B">
        <w:rPr>
          <w:bCs/>
          <w:iCs/>
          <w:highlight w:val="yellow"/>
          <w:vertAlign w:val="subscript"/>
        </w:rPr>
        <w:t xml:space="preserve">% </w:t>
      </w:r>
      <w:r w:rsidRPr="0013778D">
        <w:rPr>
          <w:bCs/>
          <w:iCs/>
          <w:highlight w:val="yellow"/>
        </w:rPr>
        <w:t>si applica il seguente rapporto pubblicato sul sito internet dell’Impresa di Stoccaggio:</w:t>
      </w:r>
    </w:p>
    <w:p w:rsidR="00A16116" w:rsidRPr="0013778D" w:rsidRDefault="00A16116" w:rsidP="00A16116">
      <w:pPr>
        <w:pStyle w:val="Rientrocorpodeltesto2"/>
        <w:numPr>
          <w:ilvl w:val="0"/>
          <w:numId w:val="0"/>
        </w:numPr>
        <w:ind w:left="360"/>
        <w:rPr>
          <w:bCs/>
          <w:iCs/>
          <w:highlight w:val="yellow"/>
        </w:rPr>
      </w:pPr>
    </w:p>
    <w:p w:rsidR="00A16116" w:rsidRPr="0013778D" w:rsidRDefault="00A16116" w:rsidP="00A16116">
      <w:pPr>
        <w:pStyle w:val="Rientrocorpodeltesto2"/>
        <w:numPr>
          <w:ilvl w:val="0"/>
          <w:numId w:val="0"/>
        </w:numPr>
        <w:ind w:left="360"/>
        <w:jc w:val="center"/>
        <w:rPr>
          <w:bCs/>
          <w:iCs/>
          <w:highlight w:val="yellow"/>
          <w:lang w:val="en-US"/>
        </w:rPr>
      </w:pPr>
      <w:proofErr w:type="spellStart"/>
      <w:r w:rsidRPr="0013778D">
        <w:rPr>
          <w:bCs/>
          <w:iCs/>
          <w:highlight w:val="yellow"/>
          <w:lang w:val="en-US"/>
        </w:rPr>
        <w:t>G</w:t>
      </w:r>
      <w:r w:rsidRPr="006C6A3B">
        <w:rPr>
          <w:bCs/>
          <w:iCs/>
          <w:highlight w:val="yellow"/>
          <w:vertAlign w:val="subscript"/>
          <w:lang w:val="en-US"/>
        </w:rPr>
        <w:t>max,m</w:t>
      </w:r>
      <w:proofErr w:type="spellEnd"/>
      <w:r w:rsidRPr="006C6A3B">
        <w:rPr>
          <w:bCs/>
          <w:iCs/>
          <w:highlight w:val="yellow"/>
          <w:vertAlign w:val="subscript"/>
          <w:lang w:val="en-US"/>
        </w:rPr>
        <w:t xml:space="preserve">% </w:t>
      </w:r>
      <w:proofErr w:type="spellStart"/>
      <w:r w:rsidRPr="006C6A3B">
        <w:rPr>
          <w:bCs/>
          <w:iCs/>
          <w:highlight w:val="yellow"/>
          <w:vertAlign w:val="subscript"/>
          <w:lang w:val="en-US"/>
        </w:rPr>
        <w:t>infr</w:t>
      </w:r>
      <w:proofErr w:type="spellEnd"/>
      <w:r w:rsidRPr="0013778D">
        <w:rPr>
          <w:bCs/>
          <w:iCs/>
          <w:highlight w:val="yellow"/>
          <w:lang w:val="en-US"/>
        </w:rPr>
        <w:t xml:space="preserve"> = </w:t>
      </w:r>
      <m:oMath>
        <m:sSub>
          <m:sSubPr>
            <m:ctrlPr>
              <w:rPr>
                <w:rFonts w:ascii="Cambria Math" w:hAnsi="Cambria Math"/>
                <w:bCs/>
                <w:iCs/>
                <w:sz w:val="36"/>
                <w:szCs w:val="36"/>
              </w:rPr>
            </m:ctrlPr>
          </m:sSubPr>
          <m:e>
            <m:f>
              <m:fPr>
                <m:ctrlPr>
                  <w:rPr>
                    <w:rFonts w:ascii="Cambria Math" w:hAnsi="Cambria Math"/>
                    <w:bCs/>
                    <w:iCs/>
                    <w:sz w:val="36"/>
                    <w:szCs w:val="36"/>
                    <w:highlight w:val="yellow"/>
                  </w:rPr>
                </m:ctrlPr>
              </m:fPr>
              <m:num>
                <m:sSub>
                  <m:sSubPr>
                    <m:ctrlPr>
                      <w:rPr>
                        <w:rFonts w:ascii="Cambria Math" w:hAnsi="Cambria Math"/>
                        <w:sz w:val="36"/>
                        <w:szCs w:val="36"/>
                        <w:lang w:val="en-US"/>
                      </w:rPr>
                    </m:ctrlPr>
                  </m:sSubPr>
                  <m:e>
                    <m:r>
                      <m:rPr>
                        <m:sty m:val="p"/>
                      </m:rPr>
                      <w:rPr>
                        <w:rFonts w:ascii="Cambria Math" w:hAnsi="Cambria Math"/>
                        <w:sz w:val="36"/>
                        <w:szCs w:val="36"/>
                        <w:lang w:val="en-US"/>
                      </w:rPr>
                      <m:t>G</m:t>
                    </m:r>
                  </m:e>
                  <m:sub>
                    <m:r>
                      <m:rPr>
                        <m:sty m:val="p"/>
                      </m:rPr>
                      <w:rPr>
                        <w:rFonts w:ascii="Cambria Math" w:hAnsi="Cambria Math"/>
                        <w:sz w:val="36"/>
                        <w:szCs w:val="36"/>
                        <w:lang w:val="en-US"/>
                      </w:rPr>
                      <m:t>max,m%</m:t>
                    </m:r>
                  </m:sub>
                </m:sSub>
                <m:r>
                  <m:rPr>
                    <m:sty m:val="p"/>
                  </m:rPr>
                  <w:rPr>
                    <w:rFonts w:ascii="Cambria Math" w:hAnsi="Cambria Math"/>
                    <w:sz w:val="36"/>
                    <w:szCs w:val="36"/>
                    <w:highlight w:val="yellow"/>
                    <w:lang w:val="en-US"/>
                  </w:rPr>
                  <m:t>-</m:t>
                </m:r>
                <m:sSub>
                  <m:sSubPr>
                    <m:ctrlPr>
                      <w:rPr>
                        <w:rFonts w:ascii="Cambria Math" w:hAnsi="Cambria Math"/>
                        <w:sz w:val="36"/>
                        <w:szCs w:val="36"/>
                        <w:lang w:val="en-US"/>
                      </w:rPr>
                    </m:ctrlPr>
                  </m:sSubPr>
                  <m:e>
                    <m:r>
                      <m:rPr>
                        <m:sty m:val="p"/>
                      </m:rPr>
                      <w:rPr>
                        <w:rFonts w:ascii="Cambria Math" w:hAnsi="Cambria Math"/>
                        <w:sz w:val="36"/>
                        <w:szCs w:val="36"/>
                        <w:lang w:val="en-US"/>
                      </w:rPr>
                      <m:t>G</m:t>
                    </m:r>
                  </m:e>
                  <m:sub>
                    <m:r>
                      <m:rPr>
                        <m:sty m:val="p"/>
                      </m:rPr>
                      <w:rPr>
                        <w:rFonts w:ascii="Cambria Math" w:hAnsi="Cambria Math"/>
                        <w:sz w:val="36"/>
                        <w:szCs w:val="36"/>
                        <w:lang w:val="en-US"/>
                      </w:rPr>
                      <m:t>min,m-1%</m:t>
                    </m:r>
                  </m:sub>
                </m:sSub>
              </m:num>
              <m:den>
                <m:sSub>
                  <m:sSubPr>
                    <m:ctrlPr>
                      <w:rPr>
                        <w:rFonts w:ascii="Cambria Math" w:hAnsi="Cambria Math"/>
                        <w:sz w:val="36"/>
                        <w:szCs w:val="36"/>
                        <w:lang w:val="en-US"/>
                      </w:rPr>
                    </m:ctrlPr>
                  </m:sSubPr>
                  <m:e>
                    <m:r>
                      <m:rPr>
                        <m:sty m:val="p"/>
                      </m:rPr>
                      <w:rPr>
                        <w:rFonts w:ascii="Cambria Math" w:hAnsi="Cambria Math"/>
                        <w:sz w:val="36"/>
                        <w:szCs w:val="36"/>
                        <w:lang w:val="en-US"/>
                      </w:rPr>
                      <m:t>G</m:t>
                    </m:r>
                  </m:e>
                  <m:sub>
                    <m:r>
                      <m:rPr>
                        <m:sty m:val="p"/>
                      </m:rPr>
                      <w:rPr>
                        <w:rFonts w:ascii="Cambria Math" w:hAnsi="Cambria Math"/>
                        <w:sz w:val="36"/>
                        <w:szCs w:val="36"/>
                        <w:lang w:val="en-US"/>
                      </w:rPr>
                      <m:t>max,ottobre%</m:t>
                    </m:r>
                  </m:sub>
                </m:sSub>
                <m:r>
                  <m:rPr>
                    <m:sty m:val="p"/>
                  </m:rPr>
                  <w:rPr>
                    <w:rFonts w:ascii="Cambria Math" w:hAnsi="Cambria Math"/>
                    <w:sz w:val="36"/>
                    <w:szCs w:val="36"/>
                    <w:highlight w:val="yellow"/>
                    <w:lang w:val="en-US"/>
                  </w:rPr>
                  <m:t>-</m:t>
                </m:r>
                <m:sSub>
                  <m:sSubPr>
                    <m:ctrlPr>
                      <w:rPr>
                        <w:rFonts w:ascii="Cambria Math" w:hAnsi="Cambria Math"/>
                        <w:sz w:val="36"/>
                        <w:szCs w:val="36"/>
                        <w:lang w:val="en-US"/>
                      </w:rPr>
                    </m:ctrlPr>
                  </m:sSubPr>
                  <m:e>
                    <m:r>
                      <m:rPr>
                        <m:sty m:val="p"/>
                      </m:rPr>
                      <w:rPr>
                        <w:rFonts w:ascii="Cambria Math" w:hAnsi="Cambria Math"/>
                        <w:sz w:val="36"/>
                        <w:szCs w:val="36"/>
                        <w:lang w:val="en-US"/>
                      </w:rPr>
                      <m:t>G</m:t>
                    </m:r>
                  </m:e>
                  <m:sub>
                    <m:r>
                      <m:rPr>
                        <m:sty m:val="p"/>
                      </m:rPr>
                      <w:rPr>
                        <w:rFonts w:ascii="Cambria Math" w:hAnsi="Cambria Math"/>
                        <w:sz w:val="36"/>
                        <w:szCs w:val="36"/>
                        <w:lang w:val="en-US"/>
                      </w:rPr>
                      <m:t>min,m-1%</m:t>
                    </m:r>
                  </m:sub>
                </m:sSub>
              </m:den>
            </m:f>
          </m:e>
          <m:sub/>
        </m:sSub>
      </m:oMath>
    </w:p>
    <w:p w:rsidR="00A16116" w:rsidRPr="0013778D" w:rsidRDefault="00A16116" w:rsidP="00A16116">
      <w:pPr>
        <w:pStyle w:val="Rientrocorpodeltesto2"/>
        <w:numPr>
          <w:ilvl w:val="0"/>
          <w:numId w:val="0"/>
        </w:numPr>
        <w:rPr>
          <w:bCs/>
          <w:iCs/>
          <w:highlight w:val="yellow"/>
          <w:lang w:val="en-US"/>
        </w:rPr>
      </w:pPr>
    </w:p>
    <w:p w:rsidR="00A16116" w:rsidRPr="0013778D" w:rsidRDefault="00A16116" w:rsidP="00A16116">
      <w:pPr>
        <w:pStyle w:val="Rientrocorpodeltesto2"/>
        <w:numPr>
          <w:ilvl w:val="0"/>
          <w:numId w:val="0"/>
        </w:numPr>
        <w:ind w:left="360"/>
        <w:rPr>
          <w:bCs/>
          <w:iCs/>
          <w:highlight w:val="yellow"/>
        </w:rPr>
      </w:pPr>
      <w:r w:rsidRPr="0013778D">
        <w:rPr>
          <w:bCs/>
          <w:iCs/>
          <w:highlight w:val="yellow"/>
        </w:rPr>
        <w:lastRenderedPageBreak/>
        <w:t xml:space="preserve">Alle capacità relative a prodotti mensili che hanno decorrenza dal mese M, i termini </w:t>
      </w:r>
      <w:proofErr w:type="spellStart"/>
      <w:r w:rsidRPr="0013778D">
        <w:rPr>
          <w:bCs/>
          <w:iCs/>
          <w:highlight w:val="yellow"/>
        </w:rPr>
        <w:t>G</w:t>
      </w:r>
      <w:r w:rsidRPr="006C6A3B">
        <w:rPr>
          <w:bCs/>
          <w:iCs/>
          <w:highlight w:val="yellow"/>
          <w:vertAlign w:val="subscript"/>
        </w:rPr>
        <w:t>min,m</w:t>
      </w:r>
      <w:proofErr w:type="spellEnd"/>
      <w:r w:rsidRPr="006C6A3B">
        <w:rPr>
          <w:bCs/>
          <w:iCs/>
          <w:highlight w:val="yellow"/>
          <w:vertAlign w:val="subscript"/>
        </w:rPr>
        <w:t>%</w:t>
      </w:r>
      <w:r w:rsidRPr="0013778D">
        <w:rPr>
          <w:bCs/>
          <w:iCs/>
          <w:highlight w:val="yellow"/>
        </w:rPr>
        <w:t xml:space="preserve"> e </w:t>
      </w:r>
      <w:proofErr w:type="spellStart"/>
      <w:r w:rsidRPr="0013778D">
        <w:rPr>
          <w:bCs/>
          <w:iCs/>
          <w:highlight w:val="yellow"/>
        </w:rPr>
        <w:t>G</w:t>
      </w:r>
      <w:r w:rsidRPr="006C6A3B">
        <w:rPr>
          <w:bCs/>
          <w:iCs/>
          <w:highlight w:val="yellow"/>
          <w:vertAlign w:val="subscript"/>
        </w:rPr>
        <w:t>max,m</w:t>
      </w:r>
      <w:proofErr w:type="spellEnd"/>
      <w:r w:rsidRPr="006C6A3B">
        <w:rPr>
          <w:bCs/>
          <w:iCs/>
          <w:highlight w:val="yellow"/>
          <w:vertAlign w:val="subscript"/>
        </w:rPr>
        <w:t>%</w:t>
      </w:r>
      <w:r w:rsidRPr="0013778D">
        <w:rPr>
          <w:bCs/>
          <w:iCs/>
          <w:highlight w:val="yellow"/>
        </w:rPr>
        <w:t xml:space="preserve"> sono posti pari a 1 dal mese M sino all’ultimo mese della fase di iniezione.</w:t>
      </w:r>
    </w:p>
    <w:p w:rsidR="00A16116" w:rsidRDefault="00A16116" w:rsidP="00A16116">
      <w:pPr>
        <w:pStyle w:val="Rientrocorpodeltesto2"/>
        <w:numPr>
          <w:ilvl w:val="0"/>
          <w:numId w:val="0"/>
        </w:numPr>
        <w:ind w:left="360"/>
        <w:rPr>
          <w:bCs/>
          <w:iCs/>
        </w:rPr>
      </w:pPr>
      <w:r w:rsidRPr="0013778D">
        <w:rPr>
          <w:bCs/>
          <w:iCs/>
          <w:highlight w:val="yellow"/>
        </w:rPr>
        <w:t>Per gli Utenti cui sia stata conferita Capacità di Stoccaggio di Modulazione per più prodotti stagionali ovvero mensili, si considerano le giacenze determinate come somma delle giacenze calcolate</w:t>
      </w:r>
      <w:r>
        <w:rPr>
          <w:bCs/>
          <w:iCs/>
          <w:highlight w:val="yellow"/>
        </w:rPr>
        <w:t xml:space="preserve"> sulla base dei termini </w:t>
      </w:r>
      <w:proofErr w:type="spellStart"/>
      <w:r>
        <w:rPr>
          <w:bCs/>
          <w:iCs/>
          <w:highlight w:val="yellow"/>
        </w:rPr>
        <w:t>G</w:t>
      </w:r>
      <w:r w:rsidRPr="006C6A3B">
        <w:rPr>
          <w:bCs/>
          <w:iCs/>
          <w:highlight w:val="yellow"/>
          <w:vertAlign w:val="subscript"/>
        </w:rPr>
        <w:t>min,m</w:t>
      </w:r>
      <w:proofErr w:type="spellEnd"/>
      <w:r w:rsidRPr="006C6A3B">
        <w:rPr>
          <w:bCs/>
          <w:iCs/>
          <w:highlight w:val="yellow"/>
          <w:vertAlign w:val="subscript"/>
        </w:rPr>
        <w:t>%</w:t>
      </w:r>
      <w:r>
        <w:rPr>
          <w:bCs/>
          <w:iCs/>
          <w:highlight w:val="yellow"/>
        </w:rPr>
        <w:t xml:space="preserve">, </w:t>
      </w:r>
      <w:proofErr w:type="spellStart"/>
      <w:r>
        <w:rPr>
          <w:bCs/>
          <w:iCs/>
          <w:highlight w:val="yellow"/>
        </w:rPr>
        <w:t>G</w:t>
      </w:r>
      <w:r w:rsidRPr="006C6A3B">
        <w:rPr>
          <w:bCs/>
          <w:iCs/>
          <w:highlight w:val="yellow"/>
          <w:vertAlign w:val="subscript"/>
        </w:rPr>
        <w:t>max,m</w:t>
      </w:r>
      <w:proofErr w:type="spellEnd"/>
      <w:r w:rsidRPr="006C6A3B">
        <w:rPr>
          <w:bCs/>
          <w:iCs/>
          <w:highlight w:val="yellow"/>
          <w:vertAlign w:val="subscript"/>
        </w:rPr>
        <w:t>%</w:t>
      </w:r>
      <w:r w:rsidRPr="0013778D">
        <w:rPr>
          <w:bCs/>
          <w:iCs/>
          <w:highlight w:val="yellow"/>
        </w:rPr>
        <w:t xml:space="preserve">, </w:t>
      </w:r>
      <w:proofErr w:type="spellStart"/>
      <w:r w:rsidRPr="0013778D">
        <w:rPr>
          <w:bCs/>
          <w:iCs/>
          <w:highlight w:val="yellow"/>
        </w:rPr>
        <w:t>G</w:t>
      </w:r>
      <w:r w:rsidRPr="006C6A3B">
        <w:rPr>
          <w:bCs/>
          <w:iCs/>
          <w:highlight w:val="yellow"/>
          <w:vertAlign w:val="subscript"/>
        </w:rPr>
        <w:t>min,m%infr</w:t>
      </w:r>
      <w:proofErr w:type="spellEnd"/>
      <w:r w:rsidRPr="0013778D">
        <w:rPr>
          <w:bCs/>
          <w:iCs/>
          <w:highlight w:val="yellow"/>
        </w:rPr>
        <w:t xml:space="preserve">, </w:t>
      </w:r>
      <w:proofErr w:type="spellStart"/>
      <w:r w:rsidRPr="0013778D">
        <w:rPr>
          <w:bCs/>
          <w:iCs/>
          <w:highlight w:val="yellow"/>
        </w:rPr>
        <w:t>G</w:t>
      </w:r>
      <w:r w:rsidRPr="006C6A3B">
        <w:rPr>
          <w:bCs/>
          <w:iCs/>
          <w:highlight w:val="yellow"/>
          <w:vertAlign w:val="subscript"/>
        </w:rPr>
        <w:t>max,m%infr</w:t>
      </w:r>
      <w:proofErr w:type="spellEnd"/>
      <w:r w:rsidRPr="0013778D">
        <w:rPr>
          <w:bCs/>
          <w:iCs/>
          <w:highlight w:val="yellow"/>
        </w:rPr>
        <w:t>, come pubblicati sul sito internet dell’Impresa di Stoccaggio.</w:t>
      </w:r>
    </w:p>
    <w:p w:rsidR="00A16116" w:rsidRDefault="00A16116" w:rsidP="00A16116">
      <w:pPr>
        <w:pStyle w:val="Rientrocorpodeltesto"/>
        <w:numPr>
          <w:ilvl w:val="0"/>
          <w:numId w:val="0"/>
        </w:numPr>
        <w:tabs>
          <w:tab w:val="num" w:pos="2160"/>
        </w:tabs>
        <w:ind w:left="284" w:right="405"/>
        <w:rPr>
          <w:bCs/>
          <w:iCs/>
        </w:rPr>
      </w:pPr>
    </w:p>
    <w:p w:rsidR="00A16116" w:rsidRDefault="00A16116" w:rsidP="00A16116">
      <w:pPr>
        <w:pStyle w:val="Rientrocorpodeltesto"/>
        <w:numPr>
          <w:ilvl w:val="0"/>
          <w:numId w:val="0"/>
        </w:numPr>
        <w:tabs>
          <w:tab w:val="num" w:pos="2160"/>
        </w:tabs>
        <w:ind w:left="360" w:right="405"/>
        <w:rPr>
          <w:bCs/>
          <w:iCs/>
        </w:rPr>
      </w:pPr>
    </w:p>
    <w:p w:rsidR="00A16116" w:rsidRPr="00043E69" w:rsidRDefault="00A16116" w:rsidP="00A16116">
      <w:pPr>
        <w:pStyle w:val="Titolo3"/>
        <w:ind w:left="360"/>
      </w:pPr>
      <w:bookmarkStart w:id="42" w:name="_Toc119997266"/>
      <w:bookmarkStart w:id="43" w:name="_Toc119997270"/>
      <w:bookmarkStart w:id="44" w:name="_Toc119997272"/>
      <w:bookmarkStart w:id="45" w:name="_Toc119997276"/>
      <w:bookmarkStart w:id="46" w:name="_Toc119997277"/>
      <w:bookmarkStart w:id="47" w:name="_Toc363031703"/>
      <w:bookmarkEnd w:id="42"/>
      <w:bookmarkEnd w:id="43"/>
      <w:bookmarkEnd w:id="44"/>
      <w:bookmarkEnd w:id="45"/>
      <w:bookmarkEnd w:id="46"/>
      <w:r w:rsidRPr="00043E69">
        <w:t>Uso di Gas per finalità di Stoccaggio Strategico con autorizzazione da parte del MSE</w:t>
      </w:r>
      <w:bookmarkEnd w:id="47"/>
    </w:p>
    <w:p w:rsidR="00A16116" w:rsidRDefault="00A16116" w:rsidP="00A16116">
      <w:pPr>
        <w:pStyle w:val="Corpotesto"/>
        <w:ind w:left="360"/>
        <w:rPr>
          <w:rFonts w:cs="Arial"/>
          <w:bCs w:val="0"/>
          <w:iCs w:val="0"/>
        </w:rPr>
      </w:pPr>
    </w:p>
    <w:p w:rsidR="00A16116" w:rsidRPr="000F6ACD" w:rsidRDefault="00A16116" w:rsidP="00A16116">
      <w:pPr>
        <w:pStyle w:val="Corpotesto"/>
        <w:ind w:left="360"/>
        <w:rPr>
          <w:rFonts w:cs="Arial"/>
        </w:rPr>
      </w:pPr>
      <w:r w:rsidRPr="00043E69">
        <w:rPr>
          <w:rFonts w:cs="Arial"/>
        </w:rPr>
        <w:t xml:space="preserve">Nei casi di autorizzazione all’uso di gas strategico ai sensi della normativa vigente, </w:t>
      </w:r>
      <w:r>
        <w:rPr>
          <w:rFonts w:cs="Arial"/>
        </w:rPr>
        <w:t>Edison Stoccaggio S.p.A</w:t>
      </w:r>
      <w:r w:rsidRPr="00043E69">
        <w:rPr>
          <w:rFonts w:cs="Arial"/>
        </w:rPr>
        <w:t xml:space="preserve"> rende disponibile il Gas Strategico di cui è titolare all’Utente che ne faccia richiesta, previa presentazione da parte di quest’ultimo della documentazione relativa all’ottenimento dell’autorizzazione all’utilizzo di ulteriore capacità di stoccaggio ricevuta da parte del MSE, nonché di presentazione di adeguata garanzia </w:t>
      </w:r>
      <w:r w:rsidRPr="00043E69">
        <w:rPr>
          <w:rFonts w:cs="Arial"/>
          <w:szCs w:val="24"/>
        </w:rPr>
        <w:t xml:space="preserve">bancaria “autonoma, irrevocabile e “a prima domanda” emessa da primari istituti di credito aventi rating non inferiore a BBB+ Standard &amp; </w:t>
      </w:r>
      <w:proofErr w:type="spellStart"/>
      <w:r w:rsidRPr="00043E69">
        <w:rPr>
          <w:rFonts w:cs="Arial"/>
          <w:szCs w:val="24"/>
        </w:rPr>
        <w:t>Poor’s</w:t>
      </w:r>
      <w:proofErr w:type="spellEnd"/>
      <w:r w:rsidRPr="00043E69">
        <w:rPr>
          <w:rFonts w:cs="Arial"/>
          <w:szCs w:val="24"/>
        </w:rPr>
        <w:t xml:space="preserve"> ovvero Baa1 </w:t>
      </w:r>
      <w:proofErr w:type="spellStart"/>
      <w:r w:rsidRPr="00043E69">
        <w:rPr>
          <w:rFonts w:cs="Arial"/>
          <w:szCs w:val="24"/>
        </w:rPr>
        <w:t>Moody’s</w:t>
      </w:r>
      <w:proofErr w:type="spellEnd"/>
      <w:r w:rsidRPr="00043E69">
        <w:rPr>
          <w:rFonts w:cs="Arial"/>
          <w:szCs w:val="24"/>
        </w:rPr>
        <w:t xml:space="preserve"> Investor Service,</w:t>
      </w:r>
      <w:r w:rsidRPr="00043E69">
        <w:rPr>
          <w:rFonts w:cs="Arial"/>
          <w:sz w:val="20"/>
        </w:rPr>
        <w:t xml:space="preserve"> </w:t>
      </w:r>
      <w:r w:rsidRPr="00043E69">
        <w:rPr>
          <w:rFonts w:cs="Arial"/>
        </w:rPr>
        <w:t>a copertura dell’importo dovuto per l’acquisto del gas strategico e valorizzato in base ad un corrispettivo stabilito dall’autorità per il periodo oggetto di autorizzazione. In alternativa alla presentazione della garanzia bancaria, l’utente</w:t>
      </w:r>
      <w:r>
        <w:rPr>
          <w:rFonts w:cs="Arial"/>
          <w:color w:val="008080"/>
        </w:rPr>
        <w:t xml:space="preserve"> </w:t>
      </w:r>
      <w:r w:rsidRPr="00043E69">
        <w:rPr>
          <w:rFonts w:cs="Arial"/>
        </w:rPr>
        <w:t xml:space="preserve">precedentemente autorizzato può decidere di pagare anticipatamente il Gas Strategico messo a disposizione da parte della </w:t>
      </w:r>
      <w:r>
        <w:rPr>
          <w:rFonts w:cs="Arial"/>
        </w:rPr>
        <w:t>Edison Stoccaggio S.</w:t>
      </w:r>
      <w:r w:rsidRPr="000F6ACD">
        <w:rPr>
          <w:rFonts w:cs="Arial"/>
        </w:rPr>
        <w:t>p.A.</w:t>
      </w:r>
    </w:p>
    <w:p w:rsidR="00A16116" w:rsidRPr="00F1572C" w:rsidRDefault="00A16116" w:rsidP="00A16116">
      <w:pPr>
        <w:pStyle w:val="Corpotesto"/>
        <w:ind w:left="360"/>
        <w:rPr>
          <w:rFonts w:cs="Arial"/>
        </w:rPr>
      </w:pPr>
    </w:p>
    <w:p w:rsidR="00A16116" w:rsidRPr="00043E69" w:rsidRDefault="00A16116" w:rsidP="00A16116">
      <w:pPr>
        <w:pStyle w:val="Corpotesto"/>
        <w:ind w:left="360"/>
        <w:rPr>
          <w:rFonts w:cs="Arial"/>
        </w:rPr>
      </w:pPr>
      <w:r w:rsidRPr="00043E69">
        <w:rPr>
          <w:rFonts w:cs="Arial"/>
        </w:rPr>
        <w:t xml:space="preserve">A tal fine </w:t>
      </w:r>
      <w:r>
        <w:rPr>
          <w:rFonts w:cs="Arial"/>
        </w:rPr>
        <w:t>Edison Stoccaggio S.p.A</w:t>
      </w:r>
      <w:r w:rsidRPr="00043E69">
        <w:rPr>
          <w:rFonts w:cs="Arial"/>
        </w:rPr>
        <w:t xml:space="preserve"> rende disponibili sul proprio sito Internet i moduli relativi alla presentazione della richiesta e della garanzia bancaria autonoma irrevocabile e a prima domanda </w:t>
      </w:r>
      <w:r w:rsidRPr="00043E69">
        <w:rPr>
          <w:rFonts w:cs="Arial"/>
          <w:szCs w:val="24"/>
        </w:rPr>
        <w:t xml:space="preserve">emessa da primari istituti di credito aventi rating non inferiore a BBB+ Standard &amp; </w:t>
      </w:r>
      <w:proofErr w:type="spellStart"/>
      <w:r w:rsidRPr="00043E69">
        <w:rPr>
          <w:rFonts w:cs="Arial"/>
          <w:szCs w:val="24"/>
        </w:rPr>
        <w:t>Poor’s</w:t>
      </w:r>
      <w:proofErr w:type="spellEnd"/>
      <w:r w:rsidRPr="00043E69">
        <w:rPr>
          <w:rFonts w:cs="Arial"/>
          <w:szCs w:val="24"/>
        </w:rPr>
        <w:t xml:space="preserve"> ovvero Baa1 </w:t>
      </w:r>
      <w:proofErr w:type="spellStart"/>
      <w:r w:rsidRPr="00043E69">
        <w:rPr>
          <w:rFonts w:cs="Arial"/>
          <w:szCs w:val="24"/>
        </w:rPr>
        <w:t>Moody’s</w:t>
      </w:r>
      <w:proofErr w:type="spellEnd"/>
      <w:r w:rsidRPr="00043E69">
        <w:rPr>
          <w:rFonts w:cs="Arial"/>
          <w:szCs w:val="24"/>
        </w:rPr>
        <w:t xml:space="preserve"> Investor Service</w:t>
      </w:r>
      <w:r w:rsidRPr="00043E69">
        <w:rPr>
          <w:rFonts w:cs="Arial"/>
        </w:rPr>
        <w:t xml:space="preserve">, nonché le modalità e i termini per il versamento dell’importo sopra descritto. Non saranno considerate ricevibili richieste non complete o difformi rispetto a quanto indicato da </w:t>
      </w:r>
      <w:r>
        <w:rPr>
          <w:rFonts w:cs="Arial"/>
        </w:rPr>
        <w:t>Edison Stoccaggio S.p.A</w:t>
      </w:r>
      <w:r w:rsidRPr="00043E69">
        <w:rPr>
          <w:rFonts w:cs="Arial"/>
        </w:rPr>
        <w:t>.  </w:t>
      </w:r>
    </w:p>
    <w:p w:rsidR="00A16116" w:rsidRPr="00043E69" w:rsidRDefault="00A16116" w:rsidP="00A16116">
      <w:pPr>
        <w:pStyle w:val="Corpotesto"/>
        <w:ind w:left="360"/>
        <w:rPr>
          <w:rFonts w:cs="Arial"/>
        </w:rPr>
      </w:pPr>
      <w:r w:rsidRPr="00043E69">
        <w:rPr>
          <w:rFonts w:cs="Arial"/>
        </w:rPr>
        <w:t xml:space="preserve">Resta inteso che il Gas Strategico sarà messo a disposizione da </w:t>
      </w:r>
      <w:r>
        <w:rPr>
          <w:rFonts w:cs="Arial"/>
        </w:rPr>
        <w:t>Edison Stoccaggio S.p.A</w:t>
      </w:r>
      <w:r w:rsidRPr="00043E69">
        <w:rPr>
          <w:rFonts w:cs="Arial"/>
        </w:rPr>
        <w:t xml:space="preserve"> all’Utente (e contabilizzato nelle disponibilità di quest’ultimo) a decorrere dal giorno successivo alla ricezione della documentazione sopra descritta qualora la stessa sia pervenuta </w:t>
      </w:r>
      <w:r w:rsidRPr="00043E69">
        <w:rPr>
          <w:rFonts w:cs="Arial"/>
        </w:rPr>
        <w:lastRenderedPageBreak/>
        <w:t xml:space="preserve">all’Utente entro le ore 16.00, ovvero a decorrere da una data successiva qualora indicata dall’Utente. </w:t>
      </w:r>
    </w:p>
    <w:p w:rsidR="00A16116" w:rsidRPr="00043E69" w:rsidRDefault="00A16116" w:rsidP="00A16116">
      <w:pPr>
        <w:pStyle w:val="Corpotesto"/>
        <w:ind w:left="360"/>
        <w:rPr>
          <w:rFonts w:cs="Arial"/>
        </w:rPr>
      </w:pPr>
      <w:r w:rsidRPr="00043E69">
        <w:rPr>
          <w:rFonts w:cs="Arial"/>
        </w:rPr>
        <w:t xml:space="preserve">E’ fatto salvo quanto previsto dalla deliberazione ARG/gas 45/11 in relazione ai quantitativi di Gas Strategico resi disponibili al Responsabile del Bilanciamento ai fini della copertura dello Scostamento Complessivo del Sistema di cui al Codice di Rete di SRG. </w:t>
      </w:r>
    </w:p>
    <w:p w:rsidR="00A16116" w:rsidRPr="00043E69" w:rsidRDefault="00A16116" w:rsidP="00A16116">
      <w:pPr>
        <w:pStyle w:val="Corpotesto"/>
        <w:ind w:left="360"/>
        <w:rPr>
          <w:rFonts w:cs="Arial"/>
        </w:rPr>
      </w:pPr>
      <w:r w:rsidRPr="00043E69">
        <w:rPr>
          <w:rFonts w:cs="Arial"/>
        </w:rPr>
        <w:t xml:space="preserve">Fermo restando a quanto previsto all’articolo 15 comma 10 della Deliberazione 119/2005, </w:t>
      </w:r>
      <w:r>
        <w:rPr>
          <w:rFonts w:cs="Arial"/>
        </w:rPr>
        <w:t>Edison Stoccaggio S.p.A</w:t>
      </w:r>
      <w:r w:rsidRPr="00043E69">
        <w:rPr>
          <w:rFonts w:cs="Arial"/>
        </w:rPr>
        <w:t xml:space="preserve"> provvederà al riacquisto e al reintegro del Gas Strategico precedentemente utilizzato da parte dell’Utente autorizzato solo dopo il ricevimento del relativo pagamento o eventuale escussione della garanzia bancaria nel momento in cui l’Utente risulti inadempiente.</w:t>
      </w:r>
      <w:r w:rsidRPr="00043E69" w:rsidDel="009B0083">
        <w:rPr>
          <w:rFonts w:cs="Arial"/>
        </w:rPr>
        <w:t xml:space="preserve"> </w:t>
      </w:r>
    </w:p>
    <w:p w:rsidR="00A16116" w:rsidRPr="00F1572C" w:rsidRDefault="00A16116" w:rsidP="00A16116">
      <w:pPr>
        <w:pStyle w:val="Corpotesto"/>
        <w:ind w:left="0"/>
        <w:rPr>
          <w:rFonts w:cs="Arial"/>
          <w:bCs w:val="0"/>
          <w:iCs w:val="0"/>
        </w:rPr>
      </w:pPr>
    </w:p>
    <w:p w:rsidR="00A16116" w:rsidRPr="00697F16" w:rsidRDefault="00A16116" w:rsidP="00A16116">
      <w:pPr>
        <w:pStyle w:val="Corpotesto"/>
        <w:ind w:left="360"/>
      </w:pPr>
    </w:p>
    <w:p w:rsidR="00A16116" w:rsidRPr="00623460" w:rsidRDefault="00A16116" w:rsidP="00A16116">
      <w:pPr>
        <w:pStyle w:val="Corpotesto"/>
        <w:ind w:left="360"/>
        <w:rPr>
          <w:i/>
        </w:rPr>
      </w:pPr>
      <w:r w:rsidRPr="00623460">
        <w:rPr>
          <w:i/>
        </w:rPr>
        <w:t>8.</w:t>
      </w:r>
      <w:r>
        <w:rPr>
          <w:i/>
        </w:rPr>
        <w:t>4</w:t>
      </w:r>
      <w:r w:rsidRPr="00623460">
        <w:rPr>
          <w:i/>
        </w:rPr>
        <w:t>.</w:t>
      </w:r>
      <w:r>
        <w:rPr>
          <w:i/>
        </w:rPr>
        <w:t>3</w:t>
      </w:r>
      <w:r w:rsidRPr="00623460">
        <w:rPr>
          <w:i/>
        </w:rPr>
        <w:t>.1 Capacità di stoccaggio</w:t>
      </w:r>
      <w:r w:rsidRPr="00623460">
        <w:rPr>
          <w:i/>
          <w:strike/>
        </w:rPr>
        <w:t xml:space="preserve"> </w:t>
      </w:r>
      <w:r w:rsidRPr="00623460">
        <w:rPr>
          <w:i/>
        </w:rPr>
        <w:t xml:space="preserve">degli Utenti per finalità di Stoccaggio Strategico con autorizzazione da parte del MSE </w:t>
      </w:r>
    </w:p>
    <w:p w:rsidR="00A16116" w:rsidRPr="00623460" w:rsidRDefault="00A16116" w:rsidP="00A16116">
      <w:pPr>
        <w:pStyle w:val="Corpotesto"/>
        <w:ind w:left="360"/>
        <w:rPr>
          <w:i/>
        </w:rPr>
      </w:pPr>
    </w:p>
    <w:p w:rsidR="00A16116" w:rsidRPr="00043E69" w:rsidRDefault="00A16116" w:rsidP="00A16116">
      <w:pPr>
        <w:pStyle w:val="Corpotesto"/>
        <w:ind w:left="360"/>
        <w:rPr>
          <w:rFonts w:cs="Arial"/>
        </w:rPr>
      </w:pPr>
      <w:r w:rsidRPr="00043E69">
        <w:rPr>
          <w:rFonts w:cs="Arial"/>
        </w:rPr>
        <w:t xml:space="preserve">Nei casi di autorizzazione ai sensi della normativa vigente, </w:t>
      </w:r>
      <w:r>
        <w:rPr>
          <w:rFonts w:cs="Arial"/>
        </w:rPr>
        <w:t>Edison Stoccaggio S.p.A</w:t>
      </w:r>
      <w:r w:rsidRPr="00043E69">
        <w:rPr>
          <w:rFonts w:cs="Arial"/>
        </w:rPr>
        <w:t xml:space="preserve"> rende disponibile Capacità di Stoccaggio all’Utente che ne faccia richiesta, previa presentazione da parte di quest’ultimo della documentazione relativa all’autorizzazione all’utilizzo di ulteriore capacità di stoccaggio ricevuta dal MSE, secondo modalità e termini resi disponibili da </w:t>
      </w:r>
      <w:r>
        <w:rPr>
          <w:rFonts w:cs="Arial"/>
        </w:rPr>
        <w:t>Edison Stoccaggio S.p.A</w:t>
      </w:r>
      <w:r w:rsidRPr="00043E69">
        <w:rPr>
          <w:rFonts w:cs="Arial"/>
        </w:rPr>
        <w:t xml:space="preserve"> a tal fine sul proprio sito internet. </w:t>
      </w:r>
    </w:p>
    <w:p w:rsidR="00A16116" w:rsidRPr="00043E69" w:rsidRDefault="00A16116" w:rsidP="00A16116">
      <w:pPr>
        <w:pStyle w:val="Corpotesto"/>
        <w:ind w:left="360"/>
        <w:rPr>
          <w:rFonts w:cs="Arial"/>
        </w:rPr>
      </w:pPr>
      <w:r w:rsidRPr="00043E69">
        <w:rPr>
          <w:rFonts w:cs="Arial"/>
        </w:rPr>
        <w:t xml:space="preserve">Non saranno considerate ricevibili richieste non complete o difformi rispetto a quanto indicato da </w:t>
      </w:r>
      <w:r>
        <w:rPr>
          <w:rFonts w:cs="Arial"/>
        </w:rPr>
        <w:t>Edison Stoccaggio S.p.A</w:t>
      </w:r>
      <w:r w:rsidRPr="00043E69">
        <w:rPr>
          <w:rFonts w:cs="Arial"/>
        </w:rPr>
        <w:t>.</w:t>
      </w:r>
    </w:p>
    <w:p w:rsidR="00A16116" w:rsidRPr="00043E69" w:rsidRDefault="00A16116" w:rsidP="00A16116">
      <w:pPr>
        <w:pStyle w:val="Corpotesto"/>
        <w:ind w:left="360"/>
        <w:rPr>
          <w:rFonts w:cs="Arial"/>
        </w:rPr>
      </w:pPr>
      <w:r w:rsidRPr="00043E69">
        <w:rPr>
          <w:rFonts w:cs="Arial"/>
        </w:rPr>
        <w:t xml:space="preserve">Resta inteso che la Capacità di Stoccaggio sarà resa disponibile all’Utente (e contabilizzato nelle disponibilità di quest’ultimo) a decorrere dal giorno successivo alla ricezione della documentazione sopra descritta qualora la stessa sia pervenuta a </w:t>
      </w:r>
      <w:r>
        <w:rPr>
          <w:rFonts w:cs="Arial"/>
        </w:rPr>
        <w:t>Edison Stoccaggio S.p.A</w:t>
      </w:r>
      <w:r w:rsidRPr="00043E69">
        <w:rPr>
          <w:rFonts w:cs="Arial"/>
        </w:rPr>
        <w:t xml:space="preserve"> entro le ore 16.00, ovvero a decorrere da una data successiva indicata dall’Utente. </w:t>
      </w:r>
    </w:p>
    <w:p w:rsidR="00A16116" w:rsidRPr="00043E69" w:rsidRDefault="00A16116" w:rsidP="00A16116">
      <w:pPr>
        <w:pStyle w:val="Corpotesto"/>
        <w:ind w:left="360"/>
        <w:rPr>
          <w:rFonts w:cs="Arial"/>
        </w:rPr>
      </w:pPr>
    </w:p>
    <w:p w:rsidR="00A16116" w:rsidRPr="00623460" w:rsidRDefault="00A16116" w:rsidP="00A16116">
      <w:pPr>
        <w:pStyle w:val="Corpotesto"/>
        <w:ind w:left="360"/>
        <w:rPr>
          <w:i/>
        </w:rPr>
      </w:pPr>
      <w:r w:rsidRPr="00623460">
        <w:rPr>
          <w:i/>
        </w:rPr>
        <w:t>8.</w:t>
      </w:r>
      <w:r>
        <w:rPr>
          <w:i/>
        </w:rPr>
        <w:t>4</w:t>
      </w:r>
      <w:r w:rsidRPr="00623460">
        <w:rPr>
          <w:i/>
        </w:rPr>
        <w:t>.</w:t>
      </w:r>
      <w:r>
        <w:rPr>
          <w:i/>
        </w:rPr>
        <w:t>3</w:t>
      </w:r>
      <w:r w:rsidRPr="00623460">
        <w:rPr>
          <w:i/>
        </w:rPr>
        <w:t>.2 Supero della Capacità di Erogazione nel periodo cui si riferisce l’autorizzazione.</w:t>
      </w:r>
    </w:p>
    <w:p w:rsidR="00A16116" w:rsidRPr="00043E69" w:rsidRDefault="00A16116" w:rsidP="00A16116">
      <w:pPr>
        <w:pStyle w:val="Corpotesto"/>
        <w:ind w:left="360"/>
        <w:rPr>
          <w:u w:val="single"/>
        </w:rPr>
      </w:pPr>
    </w:p>
    <w:p w:rsidR="00A16116" w:rsidRPr="00043E69" w:rsidRDefault="00A16116" w:rsidP="00A16116">
      <w:pPr>
        <w:pStyle w:val="Corpotesto"/>
        <w:ind w:left="360"/>
      </w:pPr>
      <w:r w:rsidRPr="00043E69">
        <w:t>L’Utente autorizzato all’erogazione di Stoccaggio Strategico può utilizzare, nei limiti dei quantitativi e delle capacità preventivamente autorizzate, i volumi di gas in stoccaggio di cui dispone anche oltre i limiti previsti dal comma 14.4 della delibera AEEG 119/05.</w:t>
      </w:r>
    </w:p>
    <w:p w:rsidR="00A16116" w:rsidRPr="00623460" w:rsidRDefault="00A16116" w:rsidP="00A16116">
      <w:pPr>
        <w:pStyle w:val="Corpotesto"/>
        <w:ind w:left="360"/>
        <w:rPr>
          <w:i/>
        </w:rPr>
      </w:pPr>
    </w:p>
    <w:p w:rsidR="00A16116" w:rsidRPr="00623460" w:rsidRDefault="00A16116" w:rsidP="00A16116">
      <w:pPr>
        <w:pStyle w:val="Corpotesto"/>
        <w:ind w:left="360"/>
        <w:rPr>
          <w:i/>
        </w:rPr>
      </w:pPr>
      <w:r w:rsidRPr="00623460">
        <w:rPr>
          <w:i/>
        </w:rPr>
        <w:t>8.</w:t>
      </w:r>
      <w:r>
        <w:rPr>
          <w:i/>
        </w:rPr>
        <w:t>4</w:t>
      </w:r>
      <w:r w:rsidRPr="00623460">
        <w:rPr>
          <w:i/>
        </w:rPr>
        <w:t>.</w:t>
      </w:r>
      <w:r>
        <w:rPr>
          <w:i/>
        </w:rPr>
        <w:t>3</w:t>
      </w:r>
      <w:r w:rsidRPr="00623460">
        <w:rPr>
          <w:i/>
        </w:rPr>
        <w:t>.3 Supero della Capacità di Erogazione nel periodo successivo a quello cui si riferisce l’autorizzazione</w:t>
      </w:r>
    </w:p>
    <w:p w:rsidR="00A16116" w:rsidRPr="00697F16" w:rsidRDefault="00A16116" w:rsidP="00A16116">
      <w:pPr>
        <w:pStyle w:val="Corpotesto"/>
        <w:ind w:left="360"/>
        <w:rPr>
          <w:i/>
          <w:u w:val="single"/>
        </w:rPr>
      </w:pPr>
    </w:p>
    <w:p w:rsidR="00A16116" w:rsidRPr="00043E69" w:rsidRDefault="00A16116" w:rsidP="00A16116">
      <w:pPr>
        <w:pStyle w:val="Corpotesto"/>
        <w:ind w:left="360"/>
      </w:pPr>
      <w:r w:rsidRPr="00043E69">
        <w:t xml:space="preserve">Per il periodo rimanente della Fase di Erogazione successivo a quello cui si riferisce l'utilizzo autorizzato di Gas e di Capacità di Erogazione di cui </w:t>
      </w:r>
      <w:r w:rsidRPr="00043E69">
        <w:lastRenderedPageBreak/>
        <w:t xml:space="preserve">al precedente paragrafo, </w:t>
      </w:r>
      <w:r>
        <w:t>Edison Stoccaggio S.p.A</w:t>
      </w:r>
      <w:r w:rsidRPr="00043E69">
        <w:t xml:space="preserve"> provvederà a calcolare una Capacità di Erogazione (di seguito Capacità di Erogazione calcolata) sulla base di quanto previsto in relazione alla determinazione e pubblicazione dei profili di riduzione della Capacità di Erogazione, considerando la capacità di punta di erogazione che sarebbe stata disponibile all'Utente sulla base di una giacenza corrispondente ai limiti previsti al comma 14.4 della delibera AEEG 119/05, ovvero, se minore, alla giacenza dell'Utente aumentata dei quantitativi autorizzati.</w:t>
      </w:r>
    </w:p>
    <w:p w:rsidR="00A16116" w:rsidRPr="008E15B7" w:rsidRDefault="00A16116" w:rsidP="00A16116">
      <w:pPr>
        <w:pStyle w:val="Titolo2"/>
      </w:pPr>
      <w:bookmarkStart w:id="48" w:name="_Toc363031704"/>
      <w:r w:rsidRPr="00BA1F06">
        <w:t>R</w:t>
      </w:r>
      <w:r w:rsidRPr="008E15B7">
        <w:t>ITIRO INFERIORE ALL’INVASO</w:t>
      </w:r>
      <w:bookmarkEnd w:id="48"/>
    </w:p>
    <w:p w:rsidR="00A16116" w:rsidRPr="00CF46F7" w:rsidRDefault="00A16116" w:rsidP="00A16116">
      <w:pPr>
        <w:pStyle w:val="Rientrocorpodeltesto"/>
        <w:numPr>
          <w:ilvl w:val="0"/>
          <w:numId w:val="0"/>
        </w:numPr>
        <w:ind w:left="360"/>
      </w:pPr>
      <w:r w:rsidRPr="00DA4063">
        <w:t>Qualora al termine del Periodo di Erogazione,</w:t>
      </w:r>
      <w:r>
        <w:t xml:space="preserve"> l’Utente non abbia prelevato il 100</w:t>
      </w:r>
      <w:r w:rsidRPr="00DA4063">
        <w:t xml:space="preserve">% del gas </w:t>
      </w:r>
      <w:r w:rsidRPr="0013778D">
        <w:t>di cui è titolare</w:t>
      </w:r>
      <w:r w:rsidRPr="00CF46F7">
        <w:t xml:space="preserve"> è tenuto a corrispondere all’Impresa di Stoccaggio un importo pari al doppio del CVS €/GJ moltiplicato per il quantitativo di gas, espresso in energia, non ritirato.</w:t>
      </w:r>
    </w:p>
    <w:p w:rsidR="00A16116" w:rsidRPr="00CF46F7" w:rsidRDefault="00A16116" w:rsidP="00A16116">
      <w:pPr>
        <w:pStyle w:val="Rientrocorpodeltesto"/>
        <w:numPr>
          <w:ilvl w:val="0"/>
          <w:numId w:val="0"/>
        </w:numPr>
        <w:ind w:left="360"/>
      </w:pPr>
    </w:p>
    <w:p w:rsidR="00A16116" w:rsidRPr="00CF46F7" w:rsidRDefault="00A16116" w:rsidP="00A16116">
      <w:pPr>
        <w:pStyle w:val="Rientrocorpodeltesto"/>
        <w:numPr>
          <w:ilvl w:val="0"/>
          <w:numId w:val="0"/>
        </w:numPr>
        <w:ind w:left="360"/>
      </w:pPr>
      <w:r w:rsidRPr="00CF46F7">
        <w:t xml:space="preserve">Inoltre, qualora l’Utente non rinnovi per l’Anno Termico successivo un contratto con l’Impresa di Stoccaggio, sarà tenuto a corrispondere per i quantitativi di gas in giacenza al 31 marzo un corrispettivo pari a </w:t>
      </w:r>
      <w:proofErr w:type="spellStart"/>
      <w:r w:rsidRPr="00CF46F7">
        <w:t>f</w:t>
      </w:r>
      <w:r w:rsidRPr="00CF46F7">
        <w:rPr>
          <w:vertAlign w:val="subscript"/>
        </w:rPr>
        <w:t>s</w:t>
      </w:r>
      <w:proofErr w:type="spellEnd"/>
      <w:r w:rsidRPr="00CF46F7">
        <w:t>/5 e CVS applicato a tale giacenza.</w:t>
      </w:r>
    </w:p>
    <w:p w:rsidR="00A16116" w:rsidRPr="00CF46F7" w:rsidRDefault="00A16116" w:rsidP="00A16116">
      <w:pPr>
        <w:pStyle w:val="Rientrocorpodeltesto"/>
        <w:numPr>
          <w:ilvl w:val="0"/>
          <w:numId w:val="0"/>
        </w:numPr>
        <w:ind w:left="360"/>
      </w:pPr>
    </w:p>
    <w:p w:rsidR="00A16116" w:rsidRDefault="00A16116" w:rsidP="00A16116">
      <w:pPr>
        <w:pStyle w:val="Rientrocorpodeltesto"/>
        <w:numPr>
          <w:ilvl w:val="0"/>
          <w:numId w:val="0"/>
        </w:numPr>
        <w:ind w:left="360"/>
      </w:pPr>
      <w:r w:rsidRPr="00CF46F7">
        <w:t xml:space="preserve">Qualora entro il 30 Aprile l’Utente non abbia provveduto a liberare lo Spazio occupato, l’Impresa di Stoccaggio pubblicherà sul proprio sito internet i quantitativi di gas </w:t>
      </w:r>
      <w:r w:rsidRPr="0013778D">
        <w:t>nella titolarità</w:t>
      </w:r>
      <w:r w:rsidRPr="00CF46F7">
        <w:t xml:space="preserve"> dell’Utente e le modalità di gestione della procedura concorsuale per la vendita</w:t>
      </w:r>
      <w:r>
        <w:t xml:space="preserve"> di suddetto Gas  escluso i quantitativi di cui all’art 16.4.4 e compreso l’eventuale Gas a Garanzia. </w:t>
      </w:r>
      <w:r w:rsidRPr="003C09A4">
        <w:t>Il prezzo di vendita è fissato in misura pari al 50 percento della quota energia QE definita dall</w:t>
      </w:r>
      <w:r>
        <w:t>’</w:t>
      </w:r>
      <w:r w:rsidRPr="003C09A4">
        <w:t>Autorità per lo stesso periodo</w:t>
      </w:r>
    </w:p>
    <w:p w:rsidR="00A16116" w:rsidRDefault="00A16116" w:rsidP="00A16116">
      <w:pPr>
        <w:pStyle w:val="Rientrocorpodeltesto"/>
        <w:numPr>
          <w:ilvl w:val="0"/>
          <w:numId w:val="0"/>
        </w:numPr>
        <w:ind w:left="360"/>
      </w:pPr>
    </w:p>
    <w:p w:rsidR="00A16116" w:rsidRDefault="00A16116" w:rsidP="00A16116">
      <w:pPr>
        <w:pStyle w:val="Corpotesto"/>
      </w:pPr>
      <w:r>
        <w:t xml:space="preserve">L’Impresa di Stoccaggio riconosce all’Utente il ricavato della vendita, al netto dell’importo </w:t>
      </w:r>
      <w:r w:rsidRPr="009A3D3F">
        <w:t xml:space="preserve">fisso di </w:t>
      </w:r>
      <w:r>
        <w:t>50.000</w:t>
      </w:r>
      <w:r w:rsidRPr="009A3D3F">
        <w:t xml:space="preserve"> €</w:t>
      </w:r>
      <w:r>
        <w:t>.</w:t>
      </w:r>
    </w:p>
    <w:p w:rsidR="00A16116" w:rsidRPr="00043E69" w:rsidRDefault="00A16116" w:rsidP="00A16116">
      <w:pPr>
        <w:pStyle w:val="Titolo2"/>
      </w:pPr>
      <w:bookmarkStart w:id="49" w:name="_Toc156200533"/>
      <w:bookmarkStart w:id="50" w:name="_Toc156200627"/>
      <w:bookmarkStart w:id="51" w:name="_Toc156207602"/>
      <w:bookmarkStart w:id="52" w:name="_Toc156200534"/>
      <w:bookmarkStart w:id="53" w:name="_Toc156200628"/>
      <w:bookmarkStart w:id="54" w:name="_Toc156207603"/>
      <w:bookmarkStart w:id="55" w:name="_Toc119997282"/>
      <w:bookmarkStart w:id="56" w:name="_Toc138833254"/>
      <w:bookmarkStart w:id="57" w:name="_Toc363031705"/>
      <w:bookmarkEnd w:id="49"/>
      <w:bookmarkEnd w:id="50"/>
      <w:bookmarkEnd w:id="51"/>
      <w:bookmarkEnd w:id="52"/>
      <w:bookmarkEnd w:id="53"/>
      <w:bookmarkEnd w:id="54"/>
      <w:bookmarkEnd w:id="55"/>
      <w:bookmarkEnd w:id="56"/>
      <w:r w:rsidRPr="00043E69">
        <w:t xml:space="preserve">PROCEDURA </w:t>
      </w:r>
      <w:r>
        <w:t>PER LA RIPARTIZIONE DEI QUANTITATIVI DI GAS OGGETTO DELLE OFFERTE ACCETTATE SUL MERCATO DEL BILANCIAMENTO</w:t>
      </w:r>
      <w:bookmarkEnd w:id="57"/>
    </w:p>
    <w:p w:rsidR="00A16116" w:rsidRPr="00043E69" w:rsidRDefault="00A16116" w:rsidP="00A16116">
      <w:pPr>
        <w:pStyle w:val="Corpotesto"/>
      </w:pPr>
      <w:r w:rsidRPr="00043E69">
        <w:t xml:space="preserve">La procedura per la determinazione dei quantitativi di gas oggetto delle offerte accettate sul mercato del bilanciamento degli Utenti definisce la tempistica e le modalità di gestione dei flussi informativi tra le parti funzionali all’allocazione di tali quantitativi sui sistemi di stoccaggio in cui </w:t>
      </w:r>
      <w:r w:rsidRPr="00043E69">
        <w:lastRenderedPageBreak/>
        <w:t>gli Utenti hanno disponibilità. Tale procedura è pubblicata sul sito internet dell’Impresa di Stoccaggio</w:t>
      </w:r>
    </w:p>
    <w:p w:rsidR="00A16116" w:rsidRPr="00AB399A" w:rsidRDefault="00A16116" w:rsidP="00A16116">
      <w:pPr>
        <w:pStyle w:val="Corpotesto"/>
      </w:pPr>
    </w:p>
    <w:p w:rsidR="00A16116" w:rsidRPr="00043E69" w:rsidRDefault="00A16116" w:rsidP="00A16116">
      <w:pPr>
        <w:pStyle w:val="Corpotesto"/>
      </w:pPr>
      <w:r w:rsidRPr="00043E69">
        <w:t>L’Impresa di Stoccaggio, trasmette giornalmente entro le ore 09:00 all’Impresa Maggiore di Trasporto i quantitativi giornalieri immessi o erogati dal proprio Sistema di Stoccaggio relativi al giorno precedente.</w:t>
      </w:r>
    </w:p>
    <w:p w:rsidR="00A16116" w:rsidRPr="00AB399A" w:rsidRDefault="00A16116" w:rsidP="00A16116">
      <w:pPr>
        <w:pStyle w:val="Corpotesto"/>
      </w:pPr>
    </w:p>
    <w:p w:rsidR="00A16116" w:rsidRPr="00043E69" w:rsidRDefault="00A16116" w:rsidP="00A16116">
      <w:pPr>
        <w:pStyle w:val="Corpotesto"/>
      </w:pPr>
      <w:r w:rsidRPr="00043E69">
        <w:t>L’Impresa Maggiore di Trasporto comunica giornalmente all’Impresa di Stoccaggio entro le 11:00 per ognuno degli utenti delle Imprese di Trasporto che abbiano stipulato contratti di stoccaggio con le Imprese di Stoccaggio il quantitativo di gas di ogni singolo Utente relativo alle offerte accettate sul mercato del bilanciamento:</w:t>
      </w:r>
    </w:p>
    <w:p w:rsidR="00A16116" w:rsidRPr="005329E5" w:rsidRDefault="00A16116" w:rsidP="00A16116">
      <w:pPr>
        <w:pStyle w:val="Corpotesto"/>
        <w:rPr>
          <w:highlight w:val="yellow"/>
        </w:rPr>
      </w:pPr>
    </w:p>
    <w:p w:rsidR="00A16116" w:rsidRPr="00043E69" w:rsidRDefault="00A16116" w:rsidP="00A16116">
      <w:pPr>
        <w:pStyle w:val="Rientrocorpodeltesto"/>
        <w:numPr>
          <w:ilvl w:val="0"/>
          <w:numId w:val="8"/>
        </w:numPr>
      </w:pPr>
      <w:r w:rsidRPr="00043E69">
        <w:t>L’Impresa maggiore di Stoccaggio alloca l’intero valore del quantitativo di gas di ogni singolo Utente relativo alle offerte accettate sul mercato del bilanciamento comunicato dall’Impresa Maggiore di Trasporto e i quantitativi programmati in iniezione o in erogazione e la quota degli autoconsumi di gas di pertinenza a:</w:t>
      </w:r>
    </w:p>
    <w:p w:rsidR="00A16116" w:rsidRPr="00043E69" w:rsidRDefault="00A16116" w:rsidP="00A16116">
      <w:pPr>
        <w:pStyle w:val="Rientrocorpodeltesto"/>
        <w:numPr>
          <w:ilvl w:val="0"/>
          <w:numId w:val="0"/>
        </w:numPr>
        <w:ind w:left="709"/>
      </w:pPr>
    </w:p>
    <w:p w:rsidR="00A16116" w:rsidRPr="00043E69" w:rsidRDefault="00A16116" w:rsidP="00A16116">
      <w:pPr>
        <w:pStyle w:val="Rientrocorpodeltesto"/>
        <w:numPr>
          <w:ilvl w:val="0"/>
          <w:numId w:val="16"/>
        </w:numPr>
      </w:pPr>
      <w:r w:rsidRPr="00043E69">
        <w:t>ciascun Utente titolare di contratto unicamente presso l’Impresa maggiore di Stoccaggio.</w:t>
      </w:r>
    </w:p>
    <w:p w:rsidR="00A16116" w:rsidRPr="005329E5" w:rsidRDefault="00A16116" w:rsidP="00A16116">
      <w:pPr>
        <w:pStyle w:val="Rientrocorpodeltesto"/>
        <w:numPr>
          <w:ilvl w:val="0"/>
          <w:numId w:val="0"/>
        </w:numPr>
        <w:ind w:left="709"/>
        <w:rPr>
          <w:highlight w:val="yellow"/>
        </w:rPr>
      </w:pPr>
    </w:p>
    <w:p w:rsidR="00A16116" w:rsidRPr="003879D8" w:rsidRDefault="00A16116" w:rsidP="00A16116">
      <w:pPr>
        <w:pStyle w:val="Rientrocorpodeltesto"/>
        <w:numPr>
          <w:ilvl w:val="0"/>
          <w:numId w:val="8"/>
        </w:numPr>
      </w:pPr>
      <w:r w:rsidRPr="00043E69">
        <w:t>L’Impresa di Stoccaggio entro le ore 11:30 alloca, il quantitativo di gas di ogni singolo Utente relativo alle offerte accettate sul mercato del bilanciamento, i quantitativi programmati in iniezione o in erogazione e la quota degli autoconsumi di gas di pertinenza, a ciascun Utente titolare di contratto unicamente presso l’Impresa di Stoccaggio stessa, secondo quanto previsto dal Codice di Stoccaggio</w:t>
      </w:r>
      <w:r w:rsidRPr="003879D8">
        <w:t>.</w:t>
      </w:r>
    </w:p>
    <w:p w:rsidR="00A16116" w:rsidRPr="00043E69" w:rsidRDefault="00A16116" w:rsidP="00A16116">
      <w:pPr>
        <w:pStyle w:val="Rientrocorpodeltesto"/>
        <w:numPr>
          <w:ilvl w:val="0"/>
          <w:numId w:val="0"/>
        </w:numPr>
        <w:ind w:left="709"/>
        <w:rPr>
          <w:highlight w:val="yellow"/>
        </w:rPr>
      </w:pPr>
    </w:p>
    <w:p w:rsidR="00A16116" w:rsidRPr="00043E69" w:rsidRDefault="00A16116" w:rsidP="00A16116">
      <w:pPr>
        <w:pStyle w:val="Rientrocorpodeltesto"/>
        <w:numPr>
          <w:ilvl w:val="0"/>
          <w:numId w:val="8"/>
        </w:numPr>
        <w:rPr>
          <w:strike/>
        </w:rPr>
      </w:pPr>
      <w:r w:rsidRPr="00043E69">
        <w:t xml:space="preserve">L’Impresa di Stoccaggio alloca il volume giornaliero a ciascun utente titolare di contratto con i due operatori di stoccaggio in funzione dei quantitativi programmati in iniezione o erogazione dal singolo Utente sul proprio </w:t>
      </w:r>
      <w:proofErr w:type="spellStart"/>
      <w:r w:rsidRPr="00043E69">
        <w:t>Hub</w:t>
      </w:r>
      <w:proofErr w:type="spellEnd"/>
      <w:r w:rsidRPr="00043E69">
        <w:t>, tenuto conto della quota degli autoconsumi di gas di pertinenza, incrementati e/o diminuiti dei quantitativi di gas ceduti e/o acquistati nella sessione di bilanciamento dall’Utente stesso e di competenza dell’</w:t>
      </w:r>
      <w:proofErr w:type="spellStart"/>
      <w:r w:rsidRPr="00043E69">
        <w:t>Hub</w:t>
      </w:r>
      <w:proofErr w:type="spellEnd"/>
      <w:r w:rsidRPr="00043E69">
        <w:t xml:space="preserve"> dell’Impresa di Stoccaggio. Tali quantitativi sono</w:t>
      </w:r>
      <w:r>
        <w:rPr>
          <w:color w:val="0000FF"/>
        </w:rPr>
        <w:t xml:space="preserve"> </w:t>
      </w:r>
      <w:r w:rsidRPr="00043E69">
        <w:t>determinati in base ad una procedura operativa concordata tra gli operatori coinvolti (imprese di stoccaggio, imprese di trasporto di RNG, GME) e pubblicata sul sito internet dell’Impresa di Stoccaggio</w:t>
      </w:r>
      <w:r>
        <w:rPr>
          <w:color w:val="0000FF"/>
        </w:rPr>
        <w:t>.</w:t>
      </w:r>
    </w:p>
    <w:p w:rsidR="00A16116" w:rsidRPr="00043E69" w:rsidRDefault="00A16116" w:rsidP="00A16116">
      <w:pPr>
        <w:pStyle w:val="Rientrocorpodeltesto"/>
        <w:numPr>
          <w:ilvl w:val="0"/>
          <w:numId w:val="0"/>
        </w:numPr>
        <w:rPr>
          <w:strike/>
        </w:rPr>
      </w:pPr>
    </w:p>
    <w:p w:rsidR="00A16116" w:rsidRPr="00043E69" w:rsidRDefault="00A16116" w:rsidP="00A16116">
      <w:pPr>
        <w:pStyle w:val="Rientrocorpodeltesto"/>
        <w:numPr>
          <w:ilvl w:val="0"/>
          <w:numId w:val="0"/>
        </w:numPr>
        <w:ind w:left="709"/>
        <w:rPr>
          <w:strike/>
        </w:rPr>
      </w:pPr>
    </w:p>
    <w:p w:rsidR="00A16116" w:rsidRPr="00043E69" w:rsidRDefault="00A16116" w:rsidP="00A16116">
      <w:pPr>
        <w:pStyle w:val="Rientrocorpodeltesto"/>
        <w:numPr>
          <w:ilvl w:val="0"/>
          <w:numId w:val="8"/>
        </w:numPr>
      </w:pPr>
      <w:r w:rsidRPr="00043E69">
        <w:lastRenderedPageBreak/>
        <w:t xml:space="preserve">L’Impresa maggiore di Trasporto, ottenuti dall’Impresa di Stoccaggio i valori di Allocazione di cui ai precedenti punti b) e c), rende disponibile ai propri Utenti i relativi valori definitivi allocati presso il sistema di stoccaggio di una o di entrambe Imprese di Stoccaggio. </w:t>
      </w:r>
    </w:p>
    <w:p w:rsidR="00A16116" w:rsidRDefault="00A16116" w:rsidP="00A16116">
      <w:pPr>
        <w:pStyle w:val="Titolo2"/>
      </w:pPr>
      <w:r>
        <w:t xml:space="preserve"> </w:t>
      </w:r>
      <w:bookmarkStart w:id="58" w:name="_Toc363031706"/>
      <w:r>
        <w:t>CONGUAGLI DI MISURA E DI ALLOCAZIONE</w:t>
      </w:r>
      <w:bookmarkEnd w:id="58"/>
    </w:p>
    <w:p w:rsidR="00A16116" w:rsidRPr="00F85EDE" w:rsidRDefault="00A16116" w:rsidP="00A16116">
      <w:pPr>
        <w:pStyle w:val="Corpotesto"/>
      </w:pPr>
      <w:r w:rsidRPr="00F85EDE">
        <w:t>Eventuali errori di misura, sia in difetto che in eccesso, o derivanti dai conguagli del bilancio dell’Impresa maggiore di Trasporto, daranno luogo al conguaglio delle quantità di energia erroneamente determinate o allocate di competenza dell’Utente del Servizio per il Bilanciamento operativo delle imprese di trasporto.</w:t>
      </w:r>
    </w:p>
    <w:p w:rsidR="00A16116" w:rsidRDefault="00A16116" w:rsidP="00A16116">
      <w:pPr>
        <w:pStyle w:val="Corpotesto"/>
      </w:pPr>
    </w:p>
    <w:p w:rsidR="00A16116" w:rsidRPr="00F85EDE" w:rsidRDefault="00A16116" w:rsidP="00A16116">
      <w:pPr>
        <w:pStyle w:val="Corpotesto"/>
      </w:pPr>
      <w:r w:rsidRPr="00F85EDE">
        <w:t>Nei casi di errori verificati, l’Impresa di Stoccaggio procederà alla sostituzione del valore errato con il nuovo valore corretto.</w:t>
      </w:r>
    </w:p>
    <w:p w:rsidR="00A16116" w:rsidRPr="00F85EDE" w:rsidRDefault="00A16116" w:rsidP="00A16116">
      <w:pPr>
        <w:pStyle w:val="Corpotesto"/>
      </w:pPr>
      <w:r w:rsidRPr="00F85EDE">
        <w:t>Ogni mese M, l’Impresa di Stoccaggio eseguirà, a valle della revisione delle misure e/o allocazioni da parte dell’Impresa maggiore di Trasporto, la propria revisione delle misure e/o delle Allocazioni per il mese M-3, provvedendo ai conguagli di fatturazione relativi.</w:t>
      </w:r>
    </w:p>
    <w:p w:rsidR="00A16116" w:rsidRPr="00F85EDE" w:rsidRDefault="00A16116" w:rsidP="00A16116">
      <w:pPr>
        <w:pStyle w:val="Corpotesto"/>
      </w:pPr>
    </w:p>
    <w:p w:rsidR="00A16116" w:rsidRPr="00F85EDE" w:rsidRDefault="00A16116" w:rsidP="00A16116">
      <w:pPr>
        <w:pStyle w:val="Corpotesto"/>
      </w:pPr>
      <w:r w:rsidRPr="00F85EDE">
        <w:t>Una volta effettuata la procedura di revisione sopra indicata, i valori di misura saranno comunicati e considerati definitivi.</w:t>
      </w:r>
    </w:p>
    <w:p w:rsidR="00A16116" w:rsidRPr="00984153" w:rsidRDefault="00A16116" w:rsidP="00A16116">
      <w:pPr>
        <w:pStyle w:val="Titolo2"/>
        <w:rPr>
          <w:i/>
        </w:rPr>
      </w:pPr>
      <w:bookmarkStart w:id="59" w:name="_Toc363031707"/>
      <w:r>
        <w:t>DETERMINAZIONE E PUBBLICAZIONE DEI LIMITI MINIMI E MASSIMI PER LE OFFERTE SUL MERCATO DI BILANCIAMENTO</w:t>
      </w:r>
      <w:bookmarkEnd w:id="59"/>
    </w:p>
    <w:p w:rsidR="00A16116" w:rsidRPr="00F85EDE" w:rsidRDefault="00A16116" w:rsidP="00A16116">
      <w:pPr>
        <w:pStyle w:val="Corpotesto"/>
      </w:pPr>
      <w:r w:rsidRPr="00F85EDE">
        <w:t>Entro le 19:30 di ciascun Giorno Gas</w:t>
      </w:r>
      <w:r>
        <w:t xml:space="preserve"> G</w:t>
      </w:r>
      <w:r w:rsidRPr="00F85EDE">
        <w:t xml:space="preserve">, contestualmente a quanto previsto al precedente paragrafo 6.6.4, l’Impresa di Stoccaggio rende disponibile su </w:t>
      </w:r>
      <w:proofErr w:type="spellStart"/>
      <w:r w:rsidRPr="00F85EDE">
        <w:t>Escomas</w:t>
      </w:r>
      <w:proofErr w:type="spellEnd"/>
      <w:r w:rsidRPr="00F85EDE">
        <w:t xml:space="preserve"> i limiti minimi e massimi per le offerte di acquisto e vendita sul mercato di bilanciamento per ciascun Utente, determinati come di seguito descritto:</w:t>
      </w:r>
    </w:p>
    <w:p w:rsidR="00A16116" w:rsidRPr="00F85EDE" w:rsidRDefault="00A16116" w:rsidP="00A16116">
      <w:pPr>
        <w:pStyle w:val="Corpotesto"/>
      </w:pPr>
    </w:p>
    <w:p w:rsidR="00A16116" w:rsidRPr="00F85EDE" w:rsidRDefault="00A16116" w:rsidP="00A16116">
      <w:pPr>
        <w:pStyle w:val="Corpotesto"/>
        <w:numPr>
          <w:ilvl w:val="0"/>
          <w:numId w:val="15"/>
        </w:numPr>
      </w:pPr>
      <w:r w:rsidRPr="00F85EDE">
        <w:t>Per la disponibilità all’acquisto</w:t>
      </w:r>
    </w:p>
    <w:p w:rsidR="00A16116" w:rsidRPr="00F85EDE" w:rsidRDefault="00A16116" w:rsidP="00A16116">
      <w:pPr>
        <w:pStyle w:val="Corpotesto"/>
        <w:numPr>
          <w:ilvl w:val="1"/>
          <w:numId w:val="15"/>
        </w:numPr>
      </w:pPr>
      <w:r w:rsidRPr="00F85EDE">
        <w:t>I quantitativi minimi sono pari al minor valor tra lo Spazio disponibile per l’Utente nel Giorno Gas</w:t>
      </w:r>
      <w:r>
        <w:t xml:space="preserve"> G</w:t>
      </w:r>
      <w:r w:rsidRPr="00F85EDE">
        <w:t xml:space="preserve">, tenuto conto dei quantitativi di cui al precedente paragrafo 6.6.4, come confermati dall’Impresa di Stoccaggio, e la Capacità di Iniezione complessivamente disponibile (continua e interrompibile confermata) al netto dei quantitativi oggetto </w:t>
      </w:r>
      <w:r w:rsidRPr="00F85EDE">
        <w:lastRenderedPageBreak/>
        <w:t>di Riformulazione in Iniezione o incrementata dei quantitativi oggetto di Riformulazione in Erogazione, come confermati dall’Impresa di Stoccaggio;</w:t>
      </w:r>
    </w:p>
    <w:p w:rsidR="00A16116" w:rsidRPr="00F85EDE" w:rsidRDefault="00A16116" w:rsidP="00A16116">
      <w:pPr>
        <w:pStyle w:val="Corpotesto"/>
        <w:numPr>
          <w:ilvl w:val="1"/>
          <w:numId w:val="15"/>
        </w:numPr>
      </w:pPr>
      <w:r w:rsidRPr="00F85EDE">
        <w:t>I quantitativi massimi sono pari allo Spazio disponibile per l’Utente nel Giorno Gas</w:t>
      </w:r>
      <w:r>
        <w:t xml:space="preserve"> G</w:t>
      </w:r>
      <w:r w:rsidRPr="00F85EDE">
        <w:t>, tenuto conto dei quantitativi oggetto di Riformulazione delle Capacità di cui al precedente paragrafo 6.6.4 nello stesso Giorno Gas</w:t>
      </w:r>
      <w:r>
        <w:t xml:space="preserve"> G</w:t>
      </w:r>
      <w:r w:rsidRPr="00F85EDE">
        <w:t>, come confermati dall’Impresa di Stoccaggio.</w:t>
      </w:r>
    </w:p>
    <w:p w:rsidR="00A16116" w:rsidRPr="00F85EDE" w:rsidRDefault="00A16116" w:rsidP="00A16116">
      <w:pPr>
        <w:pStyle w:val="Corpotesto"/>
        <w:numPr>
          <w:ilvl w:val="0"/>
          <w:numId w:val="15"/>
        </w:numPr>
      </w:pPr>
      <w:r w:rsidRPr="00F85EDE">
        <w:t>Per la disponibilità alla vendita</w:t>
      </w:r>
    </w:p>
    <w:p w:rsidR="00A16116" w:rsidRPr="00F85EDE" w:rsidRDefault="00A16116" w:rsidP="00A16116">
      <w:pPr>
        <w:pStyle w:val="Corpotesto"/>
        <w:numPr>
          <w:ilvl w:val="1"/>
          <w:numId w:val="15"/>
        </w:numPr>
      </w:pPr>
      <w:r w:rsidRPr="00F85EDE">
        <w:t>I quantitativi minimi sono pari al minor valor tra la giacenza residua dell’Utente nel Giorno Gas</w:t>
      </w:r>
      <w:r>
        <w:t xml:space="preserve"> G</w:t>
      </w:r>
      <w:r w:rsidRPr="00F85EDE">
        <w:t xml:space="preserve"> tenuto conto dei quantitativi di cui al precedente paragrafo 6.6.4, come confermati dall’Impresa di Stoccaggio, e la Capacità di Erogazione complessivamente disponibile (continua e interrompibile confermata) al netto dei quantitativi oggetto di Riformulazione in Erogazione o incrementata dei quantitativi oggetto di Riformulazione in Iniezione, dall’Impresa di Stoccaggio;</w:t>
      </w:r>
    </w:p>
    <w:p w:rsidR="00A16116" w:rsidRPr="00F85EDE" w:rsidRDefault="00A16116" w:rsidP="00A16116">
      <w:pPr>
        <w:pStyle w:val="Corpotesto"/>
        <w:numPr>
          <w:ilvl w:val="1"/>
          <w:numId w:val="15"/>
        </w:numPr>
      </w:pPr>
      <w:r w:rsidRPr="00F85EDE">
        <w:t>I quantitativi massimi sono pari alla giacenza residua dell’Utente nel Giorno Gas</w:t>
      </w:r>
      <w:r>
        <w:t xml:space="preserve"> G</w:t>
      </w:r>
      <w:r w:rsidRPr="00F85EDE">
        <w:t xml:space="preserve"> tenuto conto dei quantitativi di cui al precedente paragrafo 6.6.4, come confermati dall’Impresa di Stoccaggio.</w:t>
      </w:r>
    </w:p>
    <w:p w:rsidR="00A16116" w:rsidRPr="00F85EDE" w:rsidRDefault="00A16116" w:rsidP="00A16116">
      <w:pPr>
        <w:pStyle w:val="Corpotesto"/>
      </w:pPr>
    </w:p>
    <w:p w:rsidR="00A16116" w:rsidRPr="009C7539" w:rsidRDefault="00A16116" w:rsidP="00A16116">
      <w:pPr>
        <w:pStyle w:val="Corpotesto"/>
        <w:ind w:left="360"/>
        <w:rPr>
          <w:sz w:val="22"/>
          <w:szCs w:val="22"/>
        </w:rPr>
      </w:pPr>
      <w:r w:rsidRPr="009C7539">
        <w:t>I quantitativi massimi in vendita sono calcolati al netto di tutti i quantitativi di gas costituiti in garanzia a favore del Responsabile del Bilanciamento o della stessa impresa di stoccaggio di cui al precedente paragrafo 8.2.1.4 e del quantitativo di cui al successivo paragrafo 16.4.4. I quantitativi minimi in vendita sono calcolati  considerando nelle disponibilità dell’Utente  tutti i quantitativi di gas costituiti in garanzia a favore del Responsabile del Bilanciamento o della stessa impresa di stoccaggio  e del quantitativo di cui al successivo paragrafo 16.4.4</w:t>
      </w:r>
      <w:r w:rsidRPr="009C7539">
        <w:rPr>
          <w:sz w:val="22"/>
          <w:szCs w:val="22"/>
        </w:rPr>
        <w:t>.</w:t>
      </w:r>
    </w:p>
    <w:p w:rsidR="00A16116" w:rsidRPr="009C7539" w:rsidRDefault="00A16116" w:rsidP="00A16116">
      <w:pPr>
        <w:pStyle w:val="Corpotesto"/>
      </w:pPr>
    </w:p>
    <w:p w:rsidR="00A16116" w:rsidRDefault="00A16116" w:rsidP="00A16116">
      <w:pPr>
        <w:pStyle w:val="Corpotesto"/>
      </w:pPr>
      <w:r w:rsidRPr="000F6ACD">
        <w:t>A partire dall’anno termico 2013-2014, Edison Stoccaggio</w:t>
      </w:r>
      <w:r w:rsidRPr="002D316A">
        <w:t xml:space="preserve"> S.p.A</w:t>
      </w:r>
      <w:r>
        <w:t xml:space="preserve"> comunica annualmente sul proprio sito internet i valori massimi degli autoconsumi registrati nell’anno termico precedente in GJ per la fase di Iniezione e per la fase di Erogazione.</w:t>
      </w:r>
    </w:p>
    <w:p w:rsidR="00A16116" w:rsidRDefault="00A16116" w:rsidP="00A16116">
      <w:pPr>
        <w:pStyle w:val="Corpotesto"/>
      </w:pPr>
    </w:p>
    <w:p w:rsidR="00A16116" w:rsidRDefault="00A16116" w:rsidP="00A16116">
      <w:pPr>
        <w:pStyle w:val="Corpotesto"/>
      </w:pPr>
      <w:r>
        <w:t xml:space="preserve">Per la disponibilità all’acquisto </w:t>
      </w:r>
      <w:r w:rsidRPr="00D071AA">
        <w:t>i quantitativi massimi sono</w:t>
      </w:r>
      <w:r>
        <w:t>:</w:t>
      </w:r>
    </w:p>
    <w:p w:rsidR="00A16116" w:rsidRDefault="00A16116" w:rsidP="00A16116">
      <w:pPr>
        <w:pStyle w:val="Corpotesto"/>
      </w:pPr>
    </w:p>
    <w:p w:rsidR="00A16116" w:rsidRPr="000F6ACD" w:rsidRDefault="00A16116" w:rsidP="00A16116">
      <w:pPr>
        <w:pStyle w:val="Corpotesto"/>
        <w:numPr>
          <w:ilvl w:val="0"/>
          <w:numId w:val="18"/>
        </w:numPr>
      </w:pPr>
      <w:r w:rsidRPr="00D071AA">
        <w:t>incrementati di un quantitativo</w:t>
      </w:r>
      <w:r>
        <w:t xml:space="preserve"> </w:t>
      </w:r>
      <w:r w:rsidRPr="00D071AA">
        <w:t>corrispondente a</w:t>
      </w:r>
      <w:r>
        <w:t>l consumo massimo</w:t>
      </w:r>
      <w:r w:rsidRPr="00D071AA">
        <w:t xml:space="preserve"> di </w:t>
      </w:r>
      <w:r w:rsidRPr="004F139C">
        <w:t>Iniezione di cui al capoverso precedente e maggiorato del 30</w:t>
      </w:r>
      <w:r w:rsidRPr="000F6ACD">
        <w:t>% nel</w:t>
      </w:r>
      <w:r w:rsidRPr="004F139C">
        <w:rPr>
          <w:color w:val="FF0000"/>
        </w:rPr>
        <w:t xml:space="preserve"> </w:t>
      </w:r>
      <w:r w:rsidRPr="000F6ACD">
        <w:t>caso in cui il flusso prevalente stimato per il giorno Gas evidenzi un’Iniezione;</w:t>
      </w:r>
    </w:p>
    <w:p w:rsidR="00A16116" w:rsidRPr="000F6ACD" w:rsidRDefault="00A16116" w:rsidP="00A16116">
      <w:pPr>
        <w:pStyle w:val="Corpotesto"/>
        <w:numPr>
          <w:ilvl w:val="0"/>
          <w:numId w:val="18"/>
        </w:numPr>
      </w:pPr>
      <w:r w:rsidRPr="000F6ACD">
        <w:lastRenderedPageBreak/>
        <w:t xml:space="preserve"> decrementati di un quantitativo corrispondente al consumo massimo di Erogazione di cui al capoverso precedente e maggiorato del 30%, nel caso in cui il flusso prevalente stimato per il giorno Gas evidenzi un’Erogazione</w:t>
      </w:r>
    </w:p>
    <w:p w:rsidR="00A16116" w:rsidRPr="000F6ACD" w:rsidRDefault="00A16116" w:rsidP="00A16116">
      <w:pPr>
        <w:pStyle w:val="Corpotesto"/>
      </w:pPr>
    </w:p>
    <w:p w:rsidR="00A16116" w:rsidRPr="000F6ACD" w:rsidRDefault="00A16116" w:rsidP="00A16116">
      <w:pPr>
        <w:pStyle w:val="Corpotesto"/>
      </w:pPr>
      <w:r w:rsidRPr="000F6ACD">
        <w:t>Per la disponibilità alla vendita i quantitativi massimi sono:</w:t>
      </w:r>
    </w:p>
    <w:p w:rsidR="00A16116" w:rsidRPr="000F6ACD" w:rsidRDefault="00A16116" w:rsidP="00A16116">
      <w:pPr>
        <w:pStyle w:val="Corpotesto"/>
        <w:numPr>
          <w:ilvl w:val="0"/>
          <w:numId w:val="19"/>
        </w:numPr>
      </w:pPr>
      <w:r w:rsidRPr="000F6ACD">
        <w:t>decrementati di un quantitativo corrispondente al consumo massimo di Erogazione di cui al capoverso precedente e maggiorato del 30% nel caso in cui il flusso prevalente stimato per il giorno Gas evidenzi un’Erogazione</w:t>
      </w:r>
    </w:p>
    <w:p w:rsidR="00A16116" w:rsidRPr="000F6ACD" w:rsidRDefault="00A16116" w:rsidP="00A16116">
      <w:pPr>
        <w:numPr>
          <w:ilvl w:val="0"/>
          <w:numId w:val="19"/>
        </w:numPr>
        <w:spacing w:line="360" w:lineRule="auto"/>
        <w:ind w:right="567"/>
        <w:jc w:val="both"/>
        <w:rPr>
          <w:rFonts w:ascii="Arial" w:hAnsi="Arial"/>
          <w:bCs/>
          <w:iCs/>
          <w:sz w:val="24"/>
        </w:rPr>
      </w:pPr>
      <w:r w:rsidRPr="000F6ACD">
        <w:rPr>
          <w:rFonts w:ascii="Arial" w:hAnsi="Arial"/>
          <w:bCs/>
          <w:iCs/>
          <w:sz w:val="24"/>
        </w:rPr>
        <w:t>incrementati di un quantitativo corrispondente al consumo massimo di Iniezione di cui al capoverso precedente e maggiorato del 30%, nel caso in cui il flusso prevalente stimato per il giorno Gas evidenzi un’Iniezione.</w:t>
      </w:r>
    </w:p>
    <w:p w:rsidR="00A16116" w:rsidRPr="000F6ACD" w:rsidRDefault="00A16116" w:rsidP="00A16116">
      <w:pPr>
        <w:pStyle w:val="Corpotesto"/>
      </w:pPr>
      <w:r w:rsidRPr="007623D3">
        <w:t>Fino al 31 marzo 2013 non si applica alcun incremento o diminuzione al quantitativi massimi sia in acquisto che in vendita.</w:t>
      </w:r>
    </w:p>
    <w:p w:rsidR="00A16116" w:rsidRPr="00F85EDE" w:rsidRDefault="00A16116" w:rsidP="00A16116">
      <w:pPr>
        <w:pStyle w:val="Corpotesto"/>
      </w:pPr>
    </w:p>
    <w:p w:rsidR="00A16116" w:rsidRPr="00F85EDE" w:rsidRDefault="00A16116" w:rsidP="00A16116">
      <w:pPr>
        <w:pStyle w:val="Corpotesto"/>
      </w:pPr>
      <w:r w:rsidRPr="00F85EDE">
        <w:t>Per gli Utenti che hanno sottoscritto uno o più Servizi di Stoccaggio di cui al presente Codice (ad eccezione degli Utenti del Servizio di Bilanciamento) i limiti minimi e massimi saranno determinati considerando la giacenza e le Capacità di Spazio, di Iniezione e di Erogazione complessive.</w:t>
      </w:r>
    </w:p>
    <w:p w:rsidR="00A16116" w:rsidRPr="00984153" w:rsidRDefault="00A16116" w:rsidP="00A16116">
      <w:pPr>
        <w:pStyle w:val="Titolo2"/>
      </w:pPr>
      <w:bookmarkStart w:id="60" w:name="_Toc363031708"/>
      <w:r>
        <w:t>STIMA DEGLI ONERI A COPERTURA</w:t>
      </w:r>
      <w:r w:rsidRPr="00984153">
        <w:rPr>
          <w:rFonts w:cs="Arial"/>
        </w:rPr>
        <w:t xml:space="preserve"> </w:t>
      </w:r>
      <w:r>
        <w:rPr>
          <w:rFonts w:cs="Arial"/>
        </w:rPr>
        <w:t>DEI CONSUMI DI ENERGIA ELETTRICA NECESSARI AL FUNZIONAMENTO DEGLI IMPIANTI DI COMPRESSIONE E TRATTAMENTO</w:t>
      </w:r>
      <w:bookmarkEnd w:id="60"/>
    </w:p>
    <w:p w:rsidR="00A16116" w:rsidRDefault="00A16116" w:rsidP="00A16116">
      <w:pPr>
        <w:pStyle w:val="Corpotesto"/>
      </w:pPr>
      <w:r w:rsidRPr="000F6ACD">
        <w:t>A partire dall’anno termico 2013-2014, l’Impresa di Stoccaggio definisce annualmente con riferimento agli assetti dello stoccaggio previsti nel successivo anno e ai dati</w:t>
      </w:r>
      <w:r w:rsidRPr="00AC7E32">
        <w:t xml:space="preserve"> storici</w:t>
      </w:r>
      <w:r>
        <w:t xml:space="preserve"> </w:t>
      </w:r>
      <w:r w:rsidRPr="00AC7E32">
        <w:t xml:space="preserve">disponibili </w:t>
      </w:r>
      <w:r>
        <w:t xml:space="preserve">la stima degli oneri </w:t>
      </w:r>
      <w:r>
        <w:rPr>
          <w:rFonts w:cs="Arial"/>
          <w:szCs w:val="24"/>
        </w:rPr>
        <w:t>a copertura dei consumi di energia elettrica</w:t>
      </w:r>
      <w:r w:rsidRPr="00FD4C28">
        <w:rPr>
          <w:rFonts w:cs="Arial"/>
          <w:szCs w:val="24"/>
        </w:rPr>
        <w:t xml:space="preserve"> </w:t>
      </w:r>
      <w:r>
        <w:rPr>
          <w:rFonts w:cs="Arial"/>
          <w:szCs w:val="24"/>
        </w:rPr>
        <w:t xml:space="preserve">in MWh </w:t>
      </w:r>
      <w:r w:rsidRPr="00FD4C28">
        <w:rPr>
          <w:rFonts w:cs="Arial"/>
          <w:szCs w:val="24"/>
        </w:rPr>
        <w:t>necessari al funzionamento degli impianti di</w:t>
      </w:r>
      <w:r>
        <w:rPr>
          <w:rFonts w:cs="Arial"/>
          <w:szCs w:val="24"/>
        </w:rPr>
        <w:t xml:space="preserve"> compressione e</w:t>
      </w:r>
      <w:r w:rsidRPr="00FD4C28">
        <w:rPr>
          <w:rFonts w:cs="Arial"/>
          <w:szCs w:val="24"/>
        </w:rPr>
        <w:t xml:space="preserve"> trattamento</w:t>
      </w:r>
      <w:r w:rsidRPr="00AC7E32">
        <w:t>, relativi alle sole</w:t>
      </w:r>
      <w:r>
        <w:t xml:space="preserve"> </w:t>
      </w:r>
      <w:r w:rsidRPr="00AC7E32">
        <w:t>movimentazioni nel verso di flusso prevalente del sistema (</w:t>
      </w:r>
      <w:proofErr w:type="spellStart"/>
      <w:r w:rsidRPr="00AC7E32">
        <w:t>FPi</w:t>
      </w:r>
      <w:proofErr w:type="spellEnd"/>
      <w:r w:rsidRPr="00AC7E32">
        <w:t>) atteso.</w:t>
      </w:r>
      <w:r>
        <w:t xml:space="preserve"> </w:t>
      </w:r>
    </w:p>
    <w:p w:rsidR="00A16116" w:rsidRPr="00AC7E32" w:rsidRDefault="00A16116" w:rsidP="00A16116">
      <w:pPr>
        <w:pStyle w:val="Corpotesto"/>
      </w:pPr>
      <w:r>
        <w:t xml:space="preserve">In dettaglio Edison Stoccaggio S.p.A </w:t>
      </w:r>
      <w:r w:rsidRPr="00AC7E32">
        <w:t xml:space="preserve">pubblica </w:t>
      </w:r>
      <w:r>
        <w:t>entro il 1 marzo</w:t>
      </w:r>
      <w:r w:rsidRPr="00AC7E32">
        <w:t xml:space="preserve"> una tabella con dettaglio mese </w:t>
      </w:r>
      <w:r>
        <w:t>contenente l’</w:t>
      </w:r>
      <w:r w:rsidRPr="00AC7E32">
        <w:t>indica</w:t>
      </w:r>
      <w:r>
        <w:t xml:space="preserve">zione del </w:t>
      </w:r>
      <w:r w:rsidRPr="00AC7E32">
        <w:t xml:space="preserve">fattore correlativo tra GJ movimentati e MWh </w:t>
      </w:r>
      <w:r>
        <w:t>attesi</w:t>
      </w:r>
      <w:r w:rsidRPr="00AC7E32">
        <w:t xml:space="preserve"> basata sulla serie storica dell’anno precedente. Entro l</w:t>
      </w:r>
      <w:r>
        <w:t xml:space="preserve">a fine </w:t>
      </w:r>
      <w:r w:rsidRPr="00AC7E32">
        <w:t xml:space="preserve">di ogni mese </w:t>
      </w:r>
      <w:r>
        <w:t xml:space="preserve">Edison Stoccaggio S.p.A </w:t>
      </w:r>
      <w:r w:rsidRPr="00AC7E32">
        <w:t xml:space="preserve">renderà noto ai propri utenti la stima del prezzo in €/MWh atteso </w:t>
      </w:r>
      <w:r w:rsidRPr="00AC7E32">
        <w:lastRenderedPageBreak/>
        <w:t>per il mese successivo in modo da fornire i valori utili alla stima de</w:t>
      </w:r>
      <w:r>
        <w:t>gli oner</w:t>
      </w:r>
      <w:r w:rsidRPr="00AC7E32">
        <w:t>i</w:t>
      </w:r>
      <w:r>
        <w:t xml:space="preserve"> a copertura dei </w:t>
      </w:r>
      <w:r w:rsidRPr="00AC7E32">
        <w:t xml:space="preserve">costi di energia elettrica. </w:t>
      </w:r>
    </w:p>
    <w:p w:rsidR="00A16116" w:rsidRDefault="00A16116" w:rsidP="00A16116">
      <w:pPr>
        <w:pStyle w:val="Corpotesto"/>
      </w:pPr>
      <w:r w:rsidRPr="00AC7E32">
        <w:t>Le modalità per l’a</w:t>
      </w:r>
      <w:r>
        <w:t xml:space="preserve">ttribuzione degli oneri </w:t>
      </w:r>
      <w:r w:rsidRPr="00AC7E32">
        <w:t>agli utenti sono definite al</w:t>
      </w:r>
      <w:r>
        <w:t xml:space="preserve"> capitolo </w:t>
      </w:r>
      <w:smartTag w:uri="urn:schemas-microsoft-com:office:smarttags" w:element="metricconverter">
        <w:smartTagPr>
          <w:attr w:name="ProductID" w:val="16 A"/>
        </w:smartTagPr>
        <w:r>
          <w:t>16 A</w:t>
        </w:r>
      </w:smartTag>
      <w:r w:rsidRPr="00AC7E32">
        <w:t xml:space="preserve">. </w:t>
      </w:r>
    </w:p>
    <w:p w:rsidR="00A16116" w:rsidRDefault="00A16116" w:rsidP="00A16116">
      <w:pPr>
        <w:pStyle w:val="Titolo2"/>
      </w:pPr>
      <w:bookmarkStart w:id="61" w:name="_Toc363031709"/>
      <w:r>
        <w:t>CORRISPETTIVI PER I SERVIZI DI STOCCAGGIO</w:t>
      </w:r>
      <w:bookmarkEnd w:id="61"/>
    </w:p>
    <w:p w:rsidR="00A16116" w:rsidRDefault="00A16116" w:rsidP="00A16116">
      <w:pPr>
        <w:autoSpaceDE w:val="0"/>
        <w:autoSpaceDN w:val="0"/>
        <w:adjustRightInd w:val="0"/>
        <w:rPr>
          <w:rFonts w:ascii="Arial" w:hAnsi="Arial" w:cs="Arial"/>
          <w:b/>
          <w:bCs/>
          <w:sz w:val="22"/>
          <w:szCs w:val="22"/>
        </w:rPr>
      </w:pPr>
    </w:p>
    <w:p w:rsidR="00A16116" w:rsidRDefault="00A16116" w:rsidP="00A16116">
      <w:pPr>
        <w:autoSpaceDE w:val="0"/>
        <w:autoSpaceDN w:val="0"/>
        <w:adjustRightInd w:val="0"/>
        <w:ind w:left="540" w:right="585"/>
        <w:jc w:val="both"/>
        <w:rPr>
          <w:rFonts w:ascii="Arial" w:hAnsi="Arial"/>
          <w:bCs/>
          <w:iCs/>
          <w:sz w:val="24"/>
        </w:rPr>
      </w:pPr>
      <w:r w:rsidRPr="00D96A8B">
        <w:rPr>
          <w:rFonts w:ascii="Arial" w:hAnsi="Arial"/>
          <w:bCs/>
          <w:iCs/>
          <w:sz w:val="24"/>
        </w:rPr>
        <w:t xml:space="preserve">L’Utente è tenuto a corrispondere a </w:t>
      </w:r>
      <w:r>
        <w:rPr>
          <w:rFonts w:ascii="Arial" w:hAnsi="Arial"/>
          <w:bCs/>
          <w:iCs/>
          <w:sz w:val="24"/>
        </w:rPr>
        <w:t>Edison Stoccaggio S.p.A</w:t>
      </w:r>
      <w:r w:rsidRPr="00D96A8B">
        <w:rPr>
          <w:rFonts w:ascii="Arial" w:hAnsi="Arial"/>
          <w:bCs/>
          <w:iCs/>
          <w:sz w:val="24"/>
        </w:rPr>
        <w:t xml:space="preserve">, per la prestazione dei servizi gli importi derivanti dall’applicazione dei corrispettivi pubblicati da </w:t>
      </w:r>
      <w:r>
        <w:rPr>
          <w:rFonts w:ascii="Arial" w:hAnsi="Arial"/>
          <w:bCs/>
          <w:iCs/>
          <w:sz w:val="24"/>
        </w:rPr>
        <w:t>Edison Stoccaggio S.p.A</w:t>
      </w:r>
      <w:r w:rsidRPr="00D96A8B">
        <w:rPr>
          <w:rFonts w:ascii="Arial" w:hAnsi="Arial"/>
          <w:bCs/>
          <w:iCs/>
          <w:sz w:val="24"/>
        </w:rPr>
        <w:t xml:space="preserve"> sul proprio sito internet, e strutturati come di seguito riportato:</w:t>
      </w:r>
    </w:p>
    <w:p w:rsidR="00A16116" w:rsidRDefault="00A16116" w:rsidP="00A16116">
      <w:pPr>
        <w:autoSpaceDE w:val="0"/>
        <w:autoSpaceDN w:val="0"/>
        <w:adjustRightInd w:val="0"/>
        <w:jc w:val="center"/>
        <w:rPr>
          <w:rFonts w:ascii="ArialMT" w:hAnsi="ArialMT" w:cs="ArialMT"/>
          <w:sz w:val="22"/>
          <w:szCs w:val="22"/>
        </w:rPr>
      </w:pPr>
    </w:p>
    <w:p w:rsidR="00A16116" w:rsidRDefault="00A16116" w:rsidP="00A16116">
      <w:pPr>
        <w:autoSpaceDE w:val="0"/>
        <w:autoSpaceDN w:val="0"/>
        <w:adjustRightInd w:val="0"/>
        <w:jc w:val="both"/>
        <w:rPr>
          <w:rFonts w:ascii="ArialMT" w:hAnsi="ArialMT" w:cs="ArialMT"/>
          <w:sz w:val="22"/>
          <w:szCs w:val="22"/>
        </w:rPr>
      </w:pPr>
    </w:p>
    <w:tbl>
      <w:tblPr>
        <w:tblStyle w:val="Grigliatabella"/>
        <w:tblW w:w="3674" w:type="dxa"/>
        <w:jc w:val="center"/>
        <w:tblInd w:w="5307" w:type="dxa"/>
        <w:tblLook w:val="01E0" w:firstRow="1" w:lastRow="1" w:firstColumn="1" w:lastColumn="1" w:noHBand="0" w:noVBand="0"/>
      </w:tblPr>
      <w:tblGrid>
        <w:gridCol w:w="3674"/>
      </w:tblGrid>
      <w:tr w:rsidR="00A16116" w:rsidTr="001808E1">
        <w:trPr>
          <w:jc w:val="center"/>
        </w:trPr>
        <w:tc>
          <w:tcPr>
            <w:tcW w:w="3674" w:type="dxa"/>
          </w:tcPr>
          <w:p w:rsidR="00A16116" w:rsidRDefault="00A16116" w:rsidP="001808E1">
            <w:pPr>
              <w:autoSpaceDE w:val="0"/>
              <w:autoSpaceDN w:val="0"/>
              <w:adjustRightInd w:val="0"/>
              <w:jc w:val="center"/>
              <w:rPr>
                <w:rFonts w:ascii="ArialMT" w:hAnsi="ArialMT" w:cs="ArialMT"/>
                <w:sz w:val="22"/>
                <w:szCs w:val="22"/>
              </w:rPr>
            </w:pPr>
            <w:proofErr w:type="spellStart"/>
            <w:r>
              <w:rPr>
                <w:rFonts w:ascii="ArialMT" w:hAnsi="ArialMT" w:cs="ArialMT"/>
                <w:sz w:val="22"/>
                <w:szCs w:val="22"/>
              </w:rPr>
              <w:t>f</w:t>
            </w:r>
            <w:r>
              <w:rPr>
                <w:rFonts w:ascii="ArialMT" w:hAnsi="ArialMT" w:cs="ArialMT"/>
                <w:sz w:val="14"/>
                <w:szCs w:val="14"/>
              </w:rPr>
              <w:t>S</w:t>
            </w:r>
            <w:proofErr w:type="spellEnd"/>
            <w:r>
              <w:rPr>
                <w:rFonts w:ascii="ArialMT" w:hAnsi="ArialMT" w:cs="ArialMT"/>
                <w:sz w:val="14"/>
                <w:szCs w:val="14"/>
              </w:rPr>
              <w:t xml:space="preserve"> </w:t>
            </w:r>
            <w:r>
              <w:rPr>
                <w:rFonts w:ascii="ArialMT" w:hAnsi="ArialMT" w:cs="ArialMT"/>
                <w:sz w:val="22"/>
                <w:szCs w:val="22"/>
              </w:rPr>
              <w:t>(€/GJ/anno)</w:t>
            </w:r>
          </w:p>
          <w:p w:rsidR="00A16116" w:rsidRDefault="00A16116" w:rsidP="001808E1">
            <w:pPr>
              <w:autoSpaceDE w:val="0"/>
              <w:autoSpaceDN w:val="0"/>
              <w:adjustRightInd w:val="0"/>
              <w:jc w:val="center"/>
              <w:rPr>
                <w:rFonts w:ascii="Arial" w:hAnsi="Arial"/>
                <w:bCs/>
                <w:iCs/>
                <w:sz w:val="24"/>
              </w:rPr>
            </w:pPr>
          </w:p>
        </w:tc>
      </w:tr>
      <w:tr w:rsidR="00A16116" w:rsidTr="001808E1">
        <w:trPr>
          <w:jc w:val="center"/>
        </w:trPr>
        <w:tc>
          <w:tcPr>
            <w:tcW w:w="3674" w:type="dxa"/>
          </w:tcPr>
          <w:p w:rsidR="00A16116" w:rsidRDefault="00A16116" w:rsidP="001808E1">
            <w:pPr>
              <w:autoSpaceDE w:val="0"/>
              <w:autoSpaceDN w:val="0"/>
              <w:adjustRightInd w:val="0"/>
              <w:jc w:val="center"/>
              <w:rPr>
                <w:rFonts w:ascii="ArialMT" w:hAnsi="ArialMT" w:cs="ArialMT"/>
                <w:sz w:val="22"/>
                <w:szCs w:val="22"/>
              </w:rPr>
            </w:pPr>
            <w:r>
              <w:rPr>
                <w:rFonts w:ascii="ArialMT" w:hAnsi="ArialMT" w:cs="ArialMT"/>
                <w:sz w:val="22"/>
                <w:szCs w:val="22"/>
              </w:rPr>
              <w:t>US</w:t>
            </w:r>
            <w:r w:rsidRPr="003F58C0">
              <w:rPr>
                <w:rFonts w:ascii="ArialMT" w:hAnsi="ArialMT" w:cs="ArialMT"/>
                <w:sz w:val="22"/>
                <w:szCs w:val="22"/>
                <w:vertAlign w:val="subscript"/>
              </w:rPr>
              <w:t>1</w:t>
            </w:r>
            <w:r>
              <w:rPr>
                <w:rFonts w:ascii="ArialMT" w:hAnsi="ArialMT" w:cs="ArialMT"/>
                <w:sz w:val="22"/>
                <w:szCs w:val="22"/>
              </w:rPr>
              <w:t>, US</w:t>
            </w:r>
            <w:r w:rsidRPr="003F58C0">
              <w:rPr>
                <w:rFonts w:ascii="ArialMT" w:hAnsi="ArialMT" w:cs="ArialMT"/>
                <w:sz w:val="22"/>
                <w:szCs w:val="22"/>
                <w:vertAlign w:val="subscript"/>
              </w:rPr>
              <w:t>2</w:t>
            </w:r>
            <w:r>
              <w:rPr>
                <w:rFonts w:ascii="ArialMT" w:hAnsi="ArialMT" w:cs="ArialMT"/>
                <w:sz w:val="22"/>
                <w:szCs w:val="22"/>
              </w:rPr>
              <w:t xml:space="preserve"> (€/GJ/anno)</w:t>
            </w:r>
          </w:p>
          <w:p w:rsidR="00A16116" w:rsidRDefault="00A16116" w:rsidP="001808E1">
            <w:pPr>
              <w:autoSpaceDE w:val="0"/>
              <w:autoSpaceDN w:val="0"/>
              <w:adjustRightInd w:val="0"/>
              <w:jc w:val="center"/>
              <w:rPr>
                <w:rFonts w:ascii="ArialMT" w:hAnsi="ArialMT" w:cs="ArialMT"/>
                <w:sz w:val="22"/>
                <w:szCs w:val="22"/>
              </w:rPr>
            </w:pPr>
          </w:p>
        </w:tc>
      </w:tr>
      <w:tr w:rsidR="00A16116" w:rsidTr="001808E1">
        <w:trPr>
          <w:jc w:val="center"/>
        </w:trPr>
        <w:tc>
          <w:tcPr>
            <w:tcW w:w="3674" w:type="dxa"/>
          </w:tcPr>
          <w:p w:rsidR="00A16116" w:rsidRDefault="00A16116" w:rsidP="001808E1">
            <w:pPr>
              <w:autoSpaceDE w:val="0"/>
              <w:autoSpaceDN w:val="0"/>
              <w:adjustRightInd w:val="0"/>
              <w:jc w:val="center"/>
              <w:rPr>
                <w:rFonts w:ascii="ArialMT" w:hAnsi="ArialMT" w:cs="ArialMT"/>
                <w:sz w:val="22"/>
                <w:szCs w:val="22"/>
              </w:rPr>
            </w:pPr>
            <w:r w:rsidRPr="004F2F45">
              <w:rPr>
                <w:rFonts w:ascii="ArialMT" w:hAnsi="ArialMT" w:cs="ArialMT"/>
                <w:sz w:val="22"/>
                <w:szCs w:val="22"/>
              </w:rPr>
              <w:t>CM</w:t>
            </w:r>
            <w:r w:rsidRPr="003F58C0">
              <w:rPr>
                <w:rFonts w:ascii="ArialMT" w:hAnsi="ArialMT" w:cs="ArialMT"/>
                <w:sz w:val="22"/>
                <w:szCs w:val="22"/>
                <w:vertAlign w:val="superscript"/>
              </w:rPr>
              <w:t>S</w:t>
            </w:r>
            <w:r w:rsidRPr="004F2F45">
              <w:rPr>
                <w:rFonts w:ascii="ArialMT" w:hAnsi="ArialMT" w:cs="ArialMT"/>
                <w:sz w:val="22"/>
                <w:szCs w:val="22"/>
              </w:rPr>
              <w:t xml:space="preserve"> (€/GJ/anno)</w:t>
            </w:r>
          </w:p>
          <w:p w:rsidR="00A16116" w:rsidRDefault="00A16116" w:rsidP="001808E1">
            <w:pPr>
              <w:autoSpaceDE w:val="0"/>
              <w:autoSpaceDN w:val="0"/>
              <w:adjustRightInd w:val="0"/>
              <w:jc w:val="center"/>
              <w:rPr>
                <w:rFonts w:ascii="ArialMT" w:hAnsi="ArialMT" w:cs="ArialMT"/>
                <w:sz w:val="22"/>
                <w:szCs w:val="22"/>
              </w:rPr>
            </w:pPr>
          </w:p>
        </w:tc>
      </w:tr>
      <w:tr w:rsidR="00A16116" w:rsidTr="001808E1">
        <w:trPr>
          <w:jc w:val="center"/>
        </w:trPr>
        <w:tc>
          <w:tcPr>
            <w:tcW w:w="3674" w:type="dxa"/>
          </w:tcPr>
          <w:p w:rsidR="00A16116" w:rsidRDefault="00A16116" w:rsidP="001808E1">
            <w:pPr>
              <w:autoSpaceDE w:val="0"/>
              <w:autoSpaceDN w:val="0"/>
              <w:adjustRightInd w:val="0"/>
              <w:jc w:val="center"/>
              <w:rPr>
                <w:rFonts w:ascii="ArialMT" w:hAnsi="ArialMT" w:cs="ArialMT"/>
                <w:sz w:val="22"/>
                <w:szCs w:val="22"/>
              </w:rPr>
            </w:pPr>
            <w:proofErr w:type="spellStart"/>
            <w:r>
              <w:rPr>
                <w:rFonts w:ascii="ArialMT" w:hAnsi="ArialMT" w:cs="ArialMT"/>
                <w:sz w:val="22"/>
                <w:szCs w:val="22"/>
              </w:rPr>
              <w:t>f</w:t>
            </w:r>
            <w:r>
              <w:rPr>
                <w:rFonts w:ascii="ArialMT" w:hAnsi="ArialMT" w:cs="ArialMT"/>
                <w:sz w:val="14"/>
                <w:szCs w:val="14"/>
              </w:rPr>
              <w:t>PE</w:t>
            </w:r>
            <w:proofErr w:type="spellEnd"/>
            <w:r>
              <w:rPr>
                <w:rFonts w:ascii="ArialMT" w:hAnsi="ArialMT" w:cs="ArialMT"/>
                <w:sz w:val="14"/>
                <w:szCs w:val="14"/>
              </w:rPr>
              <w:t xml:space="preserve"> </w:t>
            </w:r>
            <w:r>
              <w:rPr>
                <w:rFonts w:ascii="ArialMT" w:hAnsi="ArialMT" w:cs="ArialMT"/>
                <w:sz w:val="22"/>
                <w:szCs w:val="22"/>
              </w:rPr>
              <w:t>(€/GJ/giorno)</w:t>
            </w:r>
          </w:p>
          <w:p w:rsidR="00A16116" w:rsidRDefault="00A16116" w:rsidP="001808E1">
            <w:pPr>
              <w:autoSpaceDE w:val="0"/>
              <w:autoSpaceDN w:val="0"/>
              <w:adjustRightInd w:val="0"/>
              <w:jc w:val="center"/>
              <w:rPr>
                <w:rFonts w:ascii="Arial" w:hAnsi="Arial"/>
                <w:bCs/>
                <w:iCs/>
                <w:sz w:val="24"/>
              </w:rPr>
            </w:pPr>
          </w:p>
        </w:tc>
      </w:tr>
      <w:tr w:rsidR="00A16116" w:rsidTr="001808E1">
        <w:trPr>
          <w:jc w:val="center"/>
        </w:trPr>
        <w:tc>
          <w:tcPr>
            <w:tcW w:w="3674" w:type="dxa"/>
          </w:tcPr>
          <w:p w:rsidR="00A16116" w:rsidRDefault="00A16116" w:rsidP="001808E1">
            <w:pPr>
              <w:autoSpaceDE w:val="0"/>
              <w:autoSpaceDN w:val="0"/>
              <w:adjustRightInd w:val="0"/>
              <w:jc w:val="center"/>
              <w:rPr>
                <w:rFonts w:ascii="ArialMT" w:hAnsi="ArialMT" w:cs="ArialMT"/>
                <w:sz w:val="22"/>
                <w:szCs w:val="22"/>
              </w:rPr>
            </w:pPr>
            <w:proofErr w:type="spellStart"/>
            <w:r>
              <w:rPr>
                <w:rFonts w:ascii="ArialMT" w:hAnsi="ArialMT" w:cs="ArialMT"/>
                <w:sz w:val="22"/>
                <w:szCs w:val="22"/>
              </w:rPr>
              <w:t>f</w:t>
            </w:r>
            <w:r>
              <w:rPr>
                <w:rFonts w:ascii="ArialMT" w:hAnsi="ArialMT" w:cs="ArialMT"/>
                <w:sz w:val="14"/>
                <w:szCs w:val="14"/>
              </w:rPr>
              <w:t>PI</w:t>
            </w:r>
            <w:proofErr w:type="spellEnd"/>
            <w:r>
              <w:rPr>
                <w:rFonts w:ascii="ArialMT" w:hAnsi="ArialMT" w:cs="ArialMT"/>
                <w:sz w:val="14"/>
                <w:szCs w:val="14"/>
              </w:rPr>
              <w:t xml:space="preserve"> </w:t>
            </w:r>
            <w:r>
              <w:rPr>
                <w:rFonts w:ascii="ArialMT" w:hAnsi="ArialMT" w:cs="ArialMT"/>
                <w:sz w:val="22"/>
                <w:szCs w:val="22"/>
              </w:rPr>
              <w:t>(€/GJ/giorno)</w:t>
            </w:r>
          </w:p>
          <w:p w:rsidR="00A16116" w:rsidRDefault="00A16116" w:rsidP="001808E1">
            <w:pPr>
              <w:autoSpaceDE w:val="0"/>
              <w:autoSpaceDN w:val="0"/>
              <w:adjustRightInd w:val="0"/>
              <w:jc w:val="center"/>
              <w:rPr>
                <w:rFonts w:ascii="Arial" w:hAnsi="Arial"/>
                <w:bCs/>
                <w:iCs/>
                <w:sz w:val="24"/>
              </w:rPr>
            </w:pPr>
          </w:p>
        </w:tc>
      </w:tr>
      <w:tr w:rsidR="00A16116" w:rsidTr="001808E1">
        <w:trPr>
          <w:jc w:val="center"/>
        </w:trPr>
        <w:tc>
          <w:tcPr>
            <w:tcW w:w="3674" w:type="dxa"/>
          </w:tcPr>
          <w:p w:rsidR="00A16116" w:rsidRDefault="00A16116" w:rsidP="001808E1">
            <w:pPr>
              <w:autoSpaceDE w:val="0"/>
              <w:autoSpaceDN w:val="0"/>
              <w:adjustRightInd w:val="0"/>
              <w:jc w:val="center"/>
              <w:rPr>
                <w:rFonts w:ascii="ArialMT" w:hAnsi="ArialMT" w:cs="ArialMT"/>
                <w:sz w:val="22"/>
                <w:szCs w:val="22"/>
              </w:rPr>
            </w:pPr>
            <w:r>
              <w:rPr>
                <w:rFonts w:ascii="ArialMT" w:hAnsi="ArialMT" w:cs="ArialMT"/>
                <w:sz w:val="22"/>
                <w:szCs w:val="22"/>
              </w:rPr>
              <w:t>CVS (€/GJ)</w:t>
            </w:r>
          </w:p>
          <w:p w:rsidR="00A16116" w:rsidRDefault="00A16116" w:rsidP="001808E1">
            <w:pPr>
              <w:autoSpaceDE w:val="0"/>
              <w:autoSpaceDN w:val="0"/>
              <w:adjustRightInd w:val="0"/>
              <w:jc w:val="center"/>
              <w:rPr>
                <w:rFonts w:ascii="Arial" w:hAnsi="Arial"/>
                <w:bCs/>
                <w:iCs/>
                <w:sz w:val="24"/>
              </w:rPr>
            </w:pPr>
          </w:p>
        </w:tc>
      </w:tr>
    </w:tbl>
    <w:p w:rsidR="00A16116" w:rsidRDefault="00A16116" w:rsidP="00A16116">
      <w:pPr>
        <w:autoSpaceDE w:val="0"/>
        <w:autoSpaceDN w:val="0"/>
        <w:adjustRightInd w:val="0"/>
        <w:jc w:val="both"/>
        <w:rPr>
          <w:rFonts w:ascii="Arial" w:hAnsi="Arial"/>
          <w:bCs/>
          <w:iCs/>
          <w:sz w:val="24"/>
        </w:rPr>
      </w:pPr>
    </w:p>
    <w:p w:rsidR="00A16116" w:rsidRPr="003F0DE4" w:rsidRDefault="00A16116" w:rsidP="00A16116">
      <w:pPr>
        <w:autoSpaceDE w:val="0"/>
        <w:autoSpaceDN w:val="0"/>
        <w:adjustRightInd w:val="0"/>
        <w:ind w:left="540" w:right="585"/>
        <w:jc w:val="both"/>
        <w:rPr>
          <w:rFonts w:ascii="Arial" w:hAnsi="Arial"/>
          <w:bCs/>
          <w:iCs/>
          <w:sz w:val="24"/>
        </w:rPr>
      </w:pPr>
      <w:r w:rsidRPr="003F0DE4">
        <w:rPr>
          <w:rFonts w:ascii="Arial" w:hAnsi="Arial"/>
          <w:bCs/>
          <w:iCs/>
          <w:sz w:val="24"/>
        </w:rPr>
        <w:t xml:space="preserve">Il corrispettivo di Spazio </w:t>
      </w:r>
      <w:proofErr w:type="spellStart"/>
      <w:r w:rsidRPr="003F0DE4">
        <w:rPr>
          <w:rFonts w:ascii="Arial" w:hAnsi="Arial"/>
          <w:bCs/>
          <w:iCs/>
          <w:sz w:val="24"/>
        </w:rPr>
        <w:t>f</w:t>
      </w:r>
      <w:r w:rsidRPr="003F0DE4">
        <w:rPr>
          <w:rFonts w:ascii="Arial" w:hAnsi="Arial"/>
          <w:bCs/>
          <w:iCs/>
          <w:sz w:val="24"/>
          <w:vertAlign w:val="subscript"/>
        </w:rPr>
        <w:t>S</w:t>
      </w:r>
      <w:proofErr w:type="spellEnd"/>
      <w:r w:rsidRPr="003F0DE4">
        <w:rPr>
          <w:rFonts w:ascii="Arial" w:hAnsi="Arial"/>
          <w:bCs/>
          <w:iCs/>
          <w:sz w:val="24"/>
        </w:rPr>
        <w:t>, e le componenti US</w:t>
      </w:r>
      <w:r w:rsidRPr="003F0DE4">
        <w:rPr>
          <w:rFonts w:ascii="Arial" w:hAnsi="Arial"/>
          <w:bCs/>
          <w:iCs/>
          <w:sz w:val="24"/>
          <w:vertAlign w:val="subscript"/>
        </w:rPr>
        <w:t>1</w:t>
      </w:r>
      <w:r w:rsidRPr="003F0DE4">
        <w:rPr>
          <w:rFonts w:ascii="Arial" w:hAnsi="Arial"/>
          <w:bCs/>
          <w:iCs/>
          <w:sz w:val="24"/>
        </w:rPr>
        <w:t>, US</w:t>
      </w:r>
      <w:r w:rsidRPr="003F0DE4">
        <w:rPr>
          <w:rFonts w:ascii="Arial" w:hAnsi="Arial"/>
          <w:bCs/>
          <w:iCs/>
          <w:sz w:val="24"/>
          <w:vertAlign w:val="subscript"/>
        </w:rPr>
        <w:t>2</w:t>
      </w:r>
      <w:r w:rsidRPr="003F0DE4">
        <w:rPr>
          <w:rFonts w:ascii="Arial" w:hAnsi="Arial"/>
          <w:bCs/>
          <w:iCs/>
          <w:sz w:val="24"/>
        </w:rPr>
        <w:t xml:space="preserve"> e il corrispettivo transitorio del servizio di misura CM</w:t>
      </w:r>
      <w:r w:rsidRPr="003F0DE4">
        <w:rPr>
          <w:rFonts w:ascii="Arial" w:hAnsi="Arial"/>
          <w:bCs/>
          <w:iCs/>
          <w:sz w:val="24"/>
          <w:vertAlign w:val="superscript"/>
        </w:rPr>
        <w:t>S</w:t>
      </w:r>
      <w:r w:rsidRPr="003F0DE4">
        <w:rPr>
          <w:rFonts w:ascii="Arial" w:hAnsi="Arial"/>
          <w:bCs/>
          <w:iCs/>
          <w:sz w:val="24"/>
        </w:rPr>
        <w:t>, si applicano, su base annua, allo Spazio conferito all’Utente per l’Anno Termico, per il Servizio di Stoccaggio Minerario</w:t>
      </w:r>
      <w:r w:rsidRPr="00FB629C">
        <w:rPr>
          <w:rFonts w:ascii="Arial" w:hAnsi="Arial"/>
          <w:bCs/>
          <w:iCs/>
          <w:sz w:val="24"/>
        </w:rPr>
        <w:t xml:space="preserve">, Servizio di Modulazione </w:t>
      </w:r>
      <w:r w:rsidRPr="003F0DE4">
        <w:rPr>
          <w:rFonts w:ascii="Arial" w:hAnsi="Arial"/>
          <w:bCs/>
          <w:iCs/>
          <w:sz w:val="24"/>
        </w:rPr>
        <w:t>e/o al Servizio di Bilanciamento delle Imprese di Trasporto, aggiornato per tener conto di eventuali conferimenti in corso d’Anno Termico e/o dei trasferimenti di capacità o delle cessioni di capacità.</w:t>
      </w:r>
    </w:p>
    <w:p w:rsidR="00A16116" w:rsidRPr="0013778D" w:rsidRDefault="00A16116" w:rsidP="00A16116">
      <w:pPr>
        <w:autoSpaceDE w:val="0"/>
        <w:autoSpaceDN w:val="0"/>
        <w:adjustRightInd w:val="0"/>
        <w:ind w:left="540" w:right="585"/>
        <w:jc w:val="both"/>
        <w:rPr>
          <w:rFonts w:ascii="Arial" w:hAnsi="Arial"/>
          <w:bCs/>
          <w:iCs/>
          <w:sz w:val="24"/>
          <w:highlight w:val="yellow"/>
        </w:rPr>
      </w:pPr>
    </w:p>
    <w:p w:rsidR="00A16116" w:rsidRPr="0013778D" w:rsidRDefault="00A16116" w:rsidP="00A16116">
      <w:pPr>
        <w:autoSpaceDE w:val="0"/>
        <w:autoSpaceDN w:val="0"/>
        <w:adjustRightInd w:val="0"/>
        <w:ind w:left="540" w:right="585"/>
        <w:jc w:val="both"/>
        <w:rPr>
          <w:rFonts w:ascii="Arial" w:hAnsi="Arial"/>
          <w:bCs/>
          <w:iCs/>
          <w:sz w:val="24"/>
          <w:highlight w:val="yellow"/>
        </w:rPr>
      </w:pPr>
    </w:p>
    <w:p w:rsidR="00A16116" w:rsidRPr="003F0DE4" w:rsidRDefault="00A16116" w:rsidP="00A16116">
      <w:pPr>
        <w:autoSpaceDE w:val="0"/>
        <w:autoSpaceDN w:val="0"/>
        <w:adjustRightInd w:val="0"/>
        <w:ind w:left="540" w:right="585"/>
        <w:jc w:val="both"/>
        <w:rPr>
          <w:rFonts w:ascii="Arial" w:hAnsi="Arial"/>
          <w:bCs/>
          <w:iCs/>
          <w:sz w:val="24"/>
        </w:rPr>
      </w:pPr>
      <w:r w:rsidRPr="003F0DE4">
        <w:rPr>
          <w:rFonts w:ascii="Arial" w:hAnsi="Arial"/>
          <w:bCs/>
          <w:iCs/>
          <w:sz w:val="24"/>
        </w:rPr>
        <w:t xml:space="preserve">Il corrispettivo di disponibilità di punta giornaliera per Erogazione </w:t>
      </w:r>
      <w:proofErr w:type="spellStart"/>
      <w:r w:rsidRPr="003F0DE4">
        <w:rPr>
          <w:rFonts w:ascii="Arial" w:hAnsi="Arial"/>
          <w:bCs/>
          <w:iCs/>
          <w:sz w:val="24"/>
        </w:rPr>
        <w:t>f</w:t>
      </w:r>
      <w:r w:rsidRPr="003F0DE4">
        <w:rPr>
          <w:rFonts w:ascii="Arial" w:hAnsi="Arial"/>
          <w:bCs/>
          <w:iCs/>
          <w:sz w:val="24"/>
          <w:vertAlign w:val="subscript"/>
        </w:rPr>
        <w:t>PE</w:t>
      </w:r>
      <w:proofErr w:type="spellEnd"/>
      <w:r w:rsidRPr="003F0DE4">
        <w:rPr>
          <w:rFonts w:ascii="Arial" w:hAnsi="Arial"/>
          <w:bCs/>
          <w:iCs/>
          <w:sz w:val="24"/>
        </w:rPr>
        <w:t xml:space="preserve"> si </w:t>
      </w:r>
      <w:r w:rsidRPr="00FB629C">
        <w:rPr>
          <w:rFonts w:ascii="Arial" w:hAnsi="Arial"/>
          <w:bCs/>
          <w:iCs/>
          <w:sz w:val="24"/>
        </w:rPr>
        <w:t xml:space="preserve">applica, su base annua, alla Capacità di Erogazione conferita su base continua all’Utente del Servizio di Stoccaggio Minerario, del Servizio di Modulazione e/o al servizio di Bilanciamento delle Imprese di Trasporto, aggiornata per tener conto di eventuali conferimenti in corso </w:t>
      </w:r>
      <w:r w:rsidRPr="003F0DE4">
        <w:rPr>
          <w:rFonts w:ascii="Arial" w:hAnsi="Arial"/>
          <w:bCs/>
          <w:iCs/>
          <w:sz w:val="24"/>
        </w:rPr>
        <w:t xml:space="preserve">d’Anno </w:t>
      </w:r>
      <w:r w:rsidRPr="003F0DE4">
        <w:rPr>
          <w:rFonts w:ascii="Arial" w:hAnsi="Arial"/>
          <w:bCs/>
          <w:iCs/>
          <w:sz w:val="24"/>
        </w:rPr>
        <w:lastRenderedPageBreak/>
        <w:t>Termico e/o dei trasferimenti o delle cessioni di capacità con la seguente differenziazione:</w:t>
      </w:r>
    </w:p>
    <w:p w:rsidR="00A16116" w:rsidRPr="003F0DE4" w:rsidRDefault="00A16116" w:rsidP="00A16116">
      <w:pPr>
        <w:autoSpaceDE w:val="0"/>
        <w:autoSpaceDN w:val="0"/>
        <w:adjustRightInd w:val="0"/>
        <w:ind w:left="540" w:right="585"/>
        <w:jc w:val="both"/>
        <w:rPr>
          <w:rFonts w:ascii="Arial" w:hAnsi="Arial"/>
          <w:bCs/>
          <w:iCs/>
          <w:sz w:val="24"/>
        </w:rPr>
      </w:pPr>
    </w:p>
    <w:p w:rsidR="00A16116" w:rsidRPr="003F0DE4" w:rsidRDefault="00A16116" w:rsidP="00A16116">
      <w:pPr>
        <w:numPr>
          <w:ilvl w:val="3"/>
          <w:numId w:val="8"/>
        </w:numPr>
        <w:tabs>
          <w:tab w:val="clear" w:pos="2880"/>
          <w:tab w:val="num" w:pos="1080"/>
        </w:tabs>
        <w:autoSpaceDE w:val="0"/>
        <w:autoSpaceDN w:val="0"/>
        <w:adjustRightInd w:val="0"/>
        <w:ind w:left="540" w:right="585" w:firstLine="0"/>
        <w:jc w:val="both"/>
        <w:rPr>
          <w:rFonts w:ascii="Arial" w:hAnsi="Arial"/>
          <w:bCs/>
          <w:iCs/>
          <w:sz w:val="24"/>
        </w:rPr>
      </w:pPr>
      <w:proofErr w:type="spellStart"/>
      <w:r w:rsidRPr="003F0DE4">
        <w:rPr>
          <w:rFonts w:ascii="Arial" w:hAnsi="Arial"/>
          <w:bCs/>
          <w:iCs/>
          <w:sz w:val="24"/>
        </w:rPr>
        <w:t>f</w:t>
      </w:r>
      <w:r w:rsidRPr="003F0DE4">
        <w:rPr>
          <w:rFonts w:ascii="Arial" w:hAnsi="Arial"/>
          <w:bCs/>
          <w:iCs/>
          <w:sz w:val="24"/>
          <w:vertAlign w:val="subscript"/>
        </w:rPr>
        <w:t>PE</w:t>
      </w:r>
      <w:proofErr w:type="spellEnd"/>
      <w:r w:rsidRPr="003F0DE4">
        <w:rPr>
          <w:rFonts w:ascii="Arial" w:hAnsi="Arial"/>
          <w:bCs/>
          <w:iCs/>
          <w:sz w:val="24"/>
        </w:rPr>
        <w:t xml:space="preserve"> alla Capacità di Erogazione minima;</w:t>
      </w:r>
    </w:p>
    <w:p w:rsidR="00A16116" w:rsidRPr="003F0DE4" w:rsidRDefault="00A16116" w:rsidP="00A16116">
      <w:pPr>
        <w:numPr>
          <w:ilvl w:val="3"/>
          <w:numId w:val="8"/>
        </w:numPr>
        <w:tabs>
          <w:tab w:val="clear" w:pos="2880"/>
          <w:tab w:val="num" w:pos="1080"/>
        </w:tabs>
        <w:autoSpaceDE w:val="0"/>
        <w:autoSpaceDN w:val="0"/>
        <w:adjustRightInd w:val="0"/>
        <w:ind w:left="1080" w:right="585" w:hanging="540"/>
        <w:jc w:val="both"/>
        <w:rPr>
          <w:rFonts w:ascii="Arial" w:hAnsi="Arial"/>
          <w:bCs/>
          <w:iCs/>
          <w:sz w:val="24"/>
        </w:rPr>
      </w:pPr>
      <w:proofErr w:type="spellStart"/>
      <w:r w:rsidRPr="003F0DE4">
        <w:rPr>
          <w:rFonts w:ascii="Arial" w:hAnsi="Arial"/>
          <w:bCs/>
          <w:iCs/>
          <w:sz w:val="24"/>
        </w:rPr>
        <w:t>f</w:t>
      </w:r>
      <w:r w:rsidRPr="003F0DE4">
        <w:rPr>
          <w:rFonts w:ascii="Arial" w:hAnsi="Arial"/>
          <w:bCs/>
          <w:iCs/>
          <w:sz w:val="24"/>
          <w:vertAlign w:val="subscript"/>
        </w:rPr>
        <w:t>PE</w:t>
      </w:r>
      <w:proofErr w:type="spellEnd"/>
      <w:r w:rsidRPr="003F0DE4">
        <w:rPr>
          <w:rFonts w:ascii="Arial" w:hAnsi="Arial"/>
          <w:bCs/>
          <w:iCs/>
          <w:sz w:val="24"/>
          <w:vertAlign w:val="subscript"/>
        </w:rPr>
        <w:t xml:space="preserve"> </w:t>
      </w:r>
      <w:r w:rsidRPr="003F0DE4">
        <w:rPr>
          <w:rFonts w:ascii="Arial" w:hAnsi="Arial"/>
          <w:bCs/>
          <w:iCs/>
          <w:sz w:val="24"/>
        </w:rPr>
        <w:t>alla Capacità di Erogazione per il servizio di Bilanciamento delle Imprese di Trasporto</w:t>
      </w:r>
    </w:p>
    <w:p w:rsidR="00A16116" w:rsidRPr="003F0DE4" w:rsidRDefault="00A16116" w:rsidP="00A16116">
      <w:pPr>
        <w:numPr>
          <w:ilvl w:val="3"/>
          <w:numId w:val="8"/>
        </w:numPr>
        <w:tabs>
          <w:tab w:val="clear" w:pos="2880"/>
          <w:tab w:val="num" w:pos="1080"/>
        </w:tabs>
        <w:autoSpaceDE w:val="0"/>
        <w:autoSpaceDN w:val="0"/>
        <w:adjustRightInd w:val="0"/>
        <w:ind w:left="540" w:right="585" w:firstLine="0"/>
        <w:jc w:val="both"/>
        <w:rPr>
          <w:rFonts w:ascii="Arial" w:hAnsi="Arial"/>
          <w:bCs/>
          <w:iCs/>
          <w:sz w:val="24"/>
        </w:rPr>
      </w:pPr>
      <w:proofErr w:type="spellStart"/>
      <w:r w:rsidRPr="003F0DE4">
        <w:rPr>
          <w:rFonts w:ascii="Arial" w:hAnsi="Arial"/>
          <w:bCs/>
          <w:iCs/>
          <w:sz w:val="24"/>
        </w:rPr>
        <w:t>f</w:t>
      </w:r>
      <w:r w:rsidRPr="003F0DE4">
        <w:rPr>
          <w:rFonts w:ascii="Arial" w:hAnsi="Arial"/>
          <w:bCs/>
          <w:iCs/>
          <w:sz w:val="24"/>
          <w:vertAlign w:val="subscript"/>
        </w:rPr>
        <w:t>PE</w:t>
      </w:r>
      <w:proofErr w:type="spellEnd"/>
      <w:r w:rsidRPr="003F0DE4">
        <w:rPr>
          <w:rFonts w:ascii="Arial" w:hAnsi="Arial"/>
          <w:bCs/>
          <w:iCs/>
          <w:sz w:val="24"/>
        </w:rPr>
        <w:t xml:space="preserve"> </w:t>
      </w:r>
      <w:r w:rsidRPr="003F0DE4">
        <w:rPr>
          <w:rFonts w:ascii="Arial" w:hAnsi="Arial" w:cs="Arial"/>
          <w:bCs/>
          <w:iCs/>
          <w:sz w:val="24"/>
        </w:rPr>
        <w:t>x</w:t>
      </w:r>
      <w:r w:rsidRPr="003F0DE4">
        <w:rPr>
          <w:rFonts w:ascii="Arial" w:hAnsi="Arial"/>
          <w:bCs/>
          <w:iCs/>
          <w:sz w:val="24"/>
        </w:rPr>
        <w:t xml:space="preserve"> 2 alla Capacità di Erogazione addizionale;</w:t>
      </w:r>
    </w:p>
    <w:p w:rsidR="00A16116" w:rsidRPr="003F0DE4" w:rsidRDefault="00A16116" w:rsidP="00A16116">
      <w:pPr>
        <w:numPr>
          <w:ilvl w:val="3"/>
          <w:numId w:val="8"/>
        </w:numPr>
        <w:tabs>
          <w:tab w:val="clear" w:pos="2880"/>
          <w:tab w:val="num" w:pos="1080"/>
        </w:tabs>
        <w:autoSpaceDE w:val="0"/>
        <w:autoSpaceDN w:val="0"/>
        <w:adjustRightInd w:val="0"/>
        <w:ind w:left="1080" w:right="585" w:hanging="540"/>
        <w:jc w:val="both"/>
        <w:rPr>
          <w:rFonts w:ascii="Arial" w:hAnsi="Arial"/>
          <w:bCs/>
          <w:iCs/>
          <w:sz w:val="24"/>
        </w:rPr>
      </w:pPr>
      <w:proofErr w:type="spellStart"/>
      <w:r w:rsidRPr="003F0DE4">
        <w:rPr>
          <w:rFonts w:ascii="Arial" w:hAnsi="Arial"/>
          <w:bCs/>
          <w:iCs/>
          <w:sz w:val="24"/>
        </w:rPr>
        <w:t>f</w:t>
      </w:r>
      <w:r w:rsidRPr="003F0DE4">
        <w:rPr>
          <w:rFonts w:ascii="Arial" w:hAnsi="Arial"/>
          <w:bCs/>
          <w:iCs/>
          <w:sz w:val="24"/>
          <w:vertAlign w:val="subscript"/>
        </w:rPr>
        <w:t>PE</w:t>
      </w:r>
      <w:proofErr w:type="spellEnd"/>
      <w:r w:rsidRPr="003F0DE4">
        <w:rPr>
          <w:rFonts w:ascii="Arial" w:hAnsi="Arial"/>
          <w:bCs/>
          <w:iCs/>
          <w:sz w:val="24"/>
        </w:rPr>
        <w:t xml:space="preserve"> alla Capacità di Erogazione conferita (base e di “back up”) per il servizio di Stoccaggio Minerario;</w:t>
      </w:r>
    </w:p>
    <w:p w:rsidR="00A16116" w:rsidRPr="003F0DE4" w:rsidRDefault="00A16116" w:rsidP="00A16116">
      <w:pPr>
        <w:autoSpaceDE w:val="0"/>
        <w:autoSpaceDN w:val="0"/>
        <w:adjustRightInd w:val="0"/>
        <w:ind w:left="540" w:right="585"/>
        <w:jc w:val="both"/>
        <w:rPr>
          <w:rFonts w:ascii="Arial" w:hAnsi="Arial"/>
          <w:bCs/>
          <w:iCs/>
          <w:sz w:val="24"/>
        </w:rPr>
      </w:pPr>
    </w:p>
    <w:p w:rsidR="00A16116" w:rsidRPr="003F0DE4" w:rsidRDefault="00A16116" w:rsidP="00A16116">
      <w:pPr>
        <w:autoSpaceDE w:val="0"/>
        <w:autoSpaceDN w:val="0"/>
        <w:adjustRightInd w:val="0"/>
        <w:ind w:left="540" w:right="585"/>
        <w:jc w:val="both"/>
        <w:rPr>
          <w:rFonts w:ascii="Arial" w:hAnsi="Arial"/>
          <w:bCs/>
          <w:iCs/>
          <w:sz w:val="24"/>
        </w:rPr>
      </w:pPr>
      <w:r w:rsidRPr="003F0DE4">
        <w:rPr>
          <w:rFonts w:ascii="Arial" w:hAnsi="Arial"/>
          <w:bCs/>
          <w:iCs/>
          <w:sz w:val="24"/>
        </w:rPr>
        <w:t xml:space="preserve">Il corrispettivo di disponibilità di punta giornaliera per Iniezione </w:t>
      </w:r>
      <w:proofErr w:type="spellStart"/>
      <w:r w:rsidRPr="003F0DE4">
        <w:rPr>
          <w:rFonts w:ascii="Arial" w:hAnsi="Arial"/>
          <w:bCs/>
          <w:iCs/>
          <w:sz w:val="24"/>
        </w:rPr>
        <w:t>f</w:t>
      </w:r>
      <w:r w:rsidRPr="003F0DE4">
        <w:rPr>
          <w:rFonts w:ascii="Arial" w:hAnsi="Arial"/>
          <w:bCs/>
          <w:iCs/>
          <w:sz w:val="24"/>
          <w:vertAlign w:val="subscript"/>
        </w:rPr>
        <w:t>PI</w:t>
      </w:r>
      <w:proofErr w:type="spellEnd"/>
      <w:r w:rsidRPr="003F0DE4">
        <w:rPr>
          <w:rFonts w:ascii="Arial" w:hAnsi="Arial"/>
          <w:bCs/>
          <w:iCs/>
          <w:sz w:val="24"/>
          <w:vertAlign w:val="subscript"/>
        </w:rPr>
        <w:t xml:space="preserve"> </w:t>
      </w:r>
      <w:r w:rsidRPr="003F0DE4">
        <w:rPr>
          <w:rFonts w:ascii="Arial" w:hAnsi="Arial"/>
          <w:bCs/>
          <w:iCs/>
          <w:sz w:val="24"/>
        </w:rPr>
        <w:t>si applica, su base annua, alla Capacità di Iniezione conferita su base continua all’Utente del Servizio di Stoccaggio Minerario, del Servizio di Modulazione e/o al servizio di Bilanciamento delle Imprese di Trasporto, per tutta la durata dell’Anno Termico, aggiornata per tener conto di eventuali conferimenti in corso d’Anno Termico e/o dei trasferimenti o delle cessioni di capacità.</w:t>
      </w:r>
    </w:p>
    <w:p w:rsidR="00A16116" w:rsidRPr="0013778D" w:rsidRDefault="00A16116" w:rsidP="00A16116">
      <w:pPr>
        <w:autoSpaceDE w:val="0"/>
        <w:autoSpaceDN w:val="0"/>
        <w:adjustRightInd w:val="0"/>
        <w:ind w:left="540" w:right="585"/>
        <w:jc w:val="both"/>
        <w:rPr>
          <w:rFonts w:ascii="Arial" w:hAnsi="Arial"/>
          <w:bCs/>
          <w:iCs/>
          <w:sz w:val="24"/>
          <w:highlight w:val="yellow"/>
        </w:rPr>
      </w:pPr>
    </w:p>
    <w:p w:rsidR="00A16116" w:rsidRPr="00062420" w:rsidRDefault="00A16116" w:rsidP="00A16116">
      <w:pPr>
        <w:autoSpaceDE w:val="0"/>
        <w:autoSpaceDN w:val="0"/>
        <w:adjustRightInd w:val="0"/>
        <w:ind w:left="540" w:right="567"/>
        <w:jc w:val="both"/>
        <w:rPr>
          <w:rFonts w:ascii="Arial" w:hAnsi="Arial"/>
          <w:bCs/>
          <w:iCs/>
          <w:strike/>
          <w:sz w:val="24"/>
          <w:highlight w:val="yellow"/>
        </w:rPr>
      </w:pPr>
      <w:r w:rsidRPr="007049C1">
        <w:rPr>
          <w:rFonts w:ascii="Arial" w:hAnsi="Arial"/>
          <w:bCs/>
          <w:iCs/>
          <w:sz w:val="24"/>
        </w:rPr>
        <w:t>Il corrispettivo di movimentazione CVS si applica a ogni GJ di Gas movimentato tenuto conto della quota degli autoconsumi relativi e moltiplicato per un coefficiente pari a 1 per i quantitativi movimentati nel verso concorde a quello del flusso prevalente (</w:t>
      </w:r>
      <w:proofErr w:type="spellStart"/>
      <w:r w:rsidRPr="007049C1">
        <w:rPr>
          <w:rFonts w:ascii="Arial" w:hAnsi="Arial"/>
          <w:bCs/>
          <w:iCs/>
          <w:sz w:val="24"/>
        </w:rPr>
        <w:t>FP</w:t>
      </w:r>
      <w:r w:rsidRPr="007049C1">
        <w:rPr>
          <w:rFonts w:ascii="Arial" w:hAnsi="Arial"/>
          <w:bCs/>
          <w:iCs/>
          <w:sz w:val="24"/>
          <w:vertAlign w:val="subscript"/>
        </w:rPr>
        <w:t>i</w:t>
      </w:r>
      <w:proofErr w:type="spellEnd"/>
      <w:r w:rsidRPr="007049C1">
        <w:rPr>
          <w:rFonts w:ascii="Arial" w:hAnsi="Arial"/>
          <w:bCs/>
          <w:iCs/>
          <w:sz w:val="24"/>
          <w:vertAlign w:val="subscript"/>
        </w:rPr>
        <w:t xml:space="preserve"> </w:t>
      </w:r>
      <w:r w:rsidRPr="007049C1">
        <w:rPr>
          <w:rFonts w:ascii="Arial" w:hAnsi="Arial"/>
          <w:bCs/>
          <w:iCs/>
          <w:sz w:val="24"/>
        </w:rPr>
        <w:t>) di cui al paragrafo 6.6.6 e per un fattore pari a -1 nel caso opposto</w:t>
      </w:r>
      <w:r w:rsidRPr="00062420">
        <w:rPr>
          <w:rFonts w:ascii="Arial" w:hAnsi="Arial"/>
          <w:bCs/>
          <w:iCs/>
          <w:strike/>
          <w:sz w:val="24"/>
          <w:highlight w:val="yellow"/>
        </w:rPr>
        <w:t xml:space="preserve">. </w:t>
      </w:r>
      <w:r w:rsidRPr="00062420">
        <w:rPr>
          <w:rFonts w:ascii="Arial" w:hAnsi="Arial" w:cs="Arial"/>
          <w:strike/>
          <w:sz w:val="24"/>
          <w:szCs w:val="24"/>
          <w:highlight w:val="yellow"/>
        </w:rPr>
        <w:t>Fino al 31 marzo 2013 Il corrispettivo di movimentazione CVS si applica a ogni GJ di Gas movimentato tenuto conto della quota degli autoconsumi relativi e moltiplicato per un coefficiente pari a 0.5 per i quantitativi di gas iniettati durante la fase di erogazione e a 1 per i quantitativi movimentati in tutti gli altri casi</w:t>
      </w:r>
    </w:p>
    <w:p w:rsidR="00A16116" w:rsidRPr="003F0DE4" w:rsidRDefault="00A16116" w:rsidP="00A16116">
      <w:pPr>
        <w:autoSpaceDE w:val="0"/>
        <w:autoSpaceDN w:val="0"/>
        <w:adjustRightInd w:val="0"/>
        <w:ind w:left="540" w:right="585"/>
        <w:jc w:val="both"/>
        <w:rPr>
          <w:rFonts w:ascii="Arial" w:hAnsi="Arial"/>
          <w:bCs/>
          <w:iCs/>
          <w:sz w:val="24"/>
        </w:rPr>
      </w:pPr>
      <w:r>
        <w:rPr>
          <w:rFonts w:ascii="Arial" w:hAnsi="Arial"/>
          <w:bCs/>
          <w:iCs/>
          <w:sz w:val="24"/>
          <w:highlight w:val="yellow"/>
        </w:rPr>
        <w:t>Ai sensi della Delibera 85/2014 p</w:t>
      </w:r>
      <w:r w:rsidRPr="003F0DE4">
        <w:rPr>
          <w:rFonts w:ascii="Arial" w:hAnsi="Arial"/>
          <w:bCs/>
          <w:iCs/>
          <w:sz w:val="24"/>
          <w:highlight w:val="yellow"/>
        </w:rPr>
        <w:t>er l’anno termico 2014/2015 il corrispettivo CVS è posto pari a zero per tutti i servizi di stoccaggio.</w:t>
      </w:r>
    </w:p>
    <w:p w:rsidR="00A16116" w:rsidRPr="009C2696" w:rsidRDefault="00A16116" w:rsidP="00A16116">
      <w:pPr>
        <w:autoSpaceDE w:val="0"/>
        <w:autoSpaceDN w:val="0"/>
        <w:adjustRightInd w:val="0"/>
        <w:ind w:left="540" w:right="585"/>
        <w:jc w:val="both"/>
        <w:rPr>
          <w:rFonts w:ascii="Arial" w:hAnsi="Arial"/>
          <w:bCs/>
          <w:iCs/>
          <w:sz w:val="24"/>
          <w:highlight w:val="yellow"/>
        </w:rPr>
      </w:pPr>
      <w:r w:rsidRPr="003F0DE4">
        <w:rPr>
          <w:rFonts w:ascii="Arial" w:hAnsi="Arial"/>
          <w:bCs/>
          <w:iCs/>
          <w:sz w:val="24"/>
          <w:highlight w:val="yellow"/>
        </w:rPr>
        <w:t xml:space="preserve">Per l’anno termico 2014/2015, per gli Utenti del Servizio di Modulazione i corrispettivi </w:t>
      </w:r>
      <w:proofErr w:type="spellStart"/>
      <w:r w:rsidRPr="003F0DE4">
        <w:rPr>
          <w:rFonts w:ascii="Arial" w:hAnsi="Arial"/>
          <w:bCs/>
          <w:iCs/>
          <w:sz w:val="24"/>
          <w:highlight w:val="yellow"/>
        </w:rPr>
        <w:t>fpi</w:t>
      </w:r>
      <w:proofErr w:type="spellEnd"/>
      <w:r w:rsidRPr="003F0DE4">
        <w:rPr>
          <w:rFonts w:ascii="Arial" w:hAnsi="Arial"/>
          <w:bCs/>
          <w:iCs/>
          <w:sz w:val="24"/>
          <w:highlight w:val="yellow"/>
        </w:rPr>
        <w:t xml:space="preserve"> e </w:t>
      </w:r>
      <w:proofErr w:type="spellStart"/>
      <w:r w:rsidRPr="003F0DE4">
        <w:rPr>
          <w:rFonts w:ascii="Arial" w:hAnsi="Arial"/>
          <w:bCs/>
          <w:iCs/>
          <w:sz w:val="24"/>
          <w:highlight w:val="yellow"/>
        </w:rPr>
        <w:t>fpe</w:t>
      </w:r>
      <w:proofErr w:type="spellEnd"/>
      <w:r>
        <w:rPr>
          <w:rFonts w:ascii="Arial" w:hAnsi="Arial"/>
          <w:bCs/>
          <w:iCs/>
          <w:sz w:val="24"/>
          <w:highlight w:val="yellow"/>
        </w:rPr>
        <w:t xml:space="preserve"> sono posti pari a zero.</w:t>
      </w:r>
      <w:r w:rsidRPr="003F0DE4">
        <w:rPr>
          <w:rFonts w:ascii="Arial" w:hAnsi="Arial"/>
          <w:bCs/>
          <w:iCs/>
          <w:sz w:val="24"/>
          <w:highlight w:val="yellow"/>
        </w:rPr>
        <w:t xml:space="preserve"> </w:t>
      </w:r>
      <w:r>
        <w:rPr>
          <w:rFonts w:ascii="Arial" w:hAnsi="Arial"/>
          <w:bCs/>
          <w:iCs/>
          <w:sz w:val="24"/>
          <w:highlight w:val="yellow"/>
        </w:rPr>
        <w:t xml:space="preserve">Allo spazio conferito in esito a ciascuna procedura concorsuale, </w:t>
      </w:r>
      <w:r w:rsidRPr="003F0DE4">
        <w:rPr>
          <w:rFonts w:ascii="Arial" w:hAnsi="Arial"/>
          <w:bCs/>
          <w:iCs/>
          <w:sz w:val="24"/>
          <w:highlight w:val="yellow"/>
        </w:rPr>
        <w:t xml:space="preserve">sarà applicato in luogo del corrispettivo </w:t>
      </w:r>
      <w:proofErr w:type="spellStart"/>
      <w:r w:rsidRPr="003F0DE4">
        <w:rPr>
          <w:rFonts w:ascii="Arial" w:hAnsi="Arial"/>
          <w:bCs/>
          <w:iCs/>
          <w:sz w:val="24"/>
          <w:highlight w:val="yellow"/>
        </w:rPr>
        <w:t>fs</w:t>
      </w:r>
      <w:proofErr w:type="spellEnd"/>
      <w:r>
        <w:rPr>
          <w:rFonts w:ascii="Arial" w:hAnsi="Arial"/>
          <w:bCs/>
          <w:iCs/>
          <w:sz w:val="24"/>
          <w:highlight w:val="yellow"/>
        </w:rPr>
        <w:t xml:space="preserve">, </w:t>
      </w:r>
      <w:r w:rsidRPr="003F0DE4">
        <w:rPr>
          <w:rFonts w:ascii="Arial" w:hAnsi="Arial"/>
          <w:bCs/>
          <w:iCs/>
          <w:sz w:val="24"/>
          <w:highlight w:val="yellow"/>
        </w:rPr>
        <w:t xml:space="preserve">il corrispettivo di assegnazione </w:t>
      </w:r>
      <w:r>
        <w:rPr>
          <w:rFonts w:ascii="Arial" w:hAnsi="Arial"/>
          <w:bCs/>
          <w:iCs/>
          <w:sz w:val="24"/>
          <w:highlight w:val="yellow"/>
        </w:rPr>
        <w:t xml:space="preserve">determinato </w:t>
      </w:r>
      <w:r w:rsidRPr="003F0DE4">
        <w:rPr>
          <w:rFonts w:ascii="Arial" w:hAnsi="Arial"/>
          <w:bCs/>
          <w:iCs/>
          <w:sz w:val="24"/>
          <w:highlight w:val="yellow"/>
        </w:rPr>
        <w:t>in esito all</w:t>
      </w:r>
      <w:r>
        <w:rPr>
          <w:rFonts w:ascii="Arial" w:hAnsi="Arial"/>
          <w:bCs/>
          <w:iCs/>
          <w:sz w:val="24"/>
          <w:highlight w:val="yellow"/>
        </w:rPr>
        <w:t>a</w:t>
      </w:r>
      <w:r w:rsidRPr="003F0DE4">
        <w:rPr>
          <w:rFonts w:ascii="Arial" w:hAnsi="Arial"/>
          <w:bCs/>
          <w:iCs/>
          <w:sz w:val="24"/>
          <w:highlight w:val="yellow"/>
        </w:rPr>
        <w:t xml:space="preserve"> </w:t>
      </w:r>
      <w:r>
        <w:rPr>
          <w:rFonts w:ascii="Arial" w:hAnsi="Arial"/>
          <w:bCs/>
          <w:iCs/>
          <w:sz w:val="24"/>
          <w:highlight w:val="yellow"/>
        </w:rPr>
        <w:t xml:space="preserve">relativa </w:t>
      </w:r>
      <w:r w:rsidRPr="003F0DE4">
        <w:rPr>
          <w:rFonts w:ascii="Arial" w:hAnsi="Arial"/>
          <w:bCs/>
          <w:iCs/>
          <w:sz w:val="24"/>
          <w:highlight w:val="yellow"/>
        </w:rPr>
        <w:t>procedur</w:t>
      </w:r>
      <w:r>
        <w:rPr>
          <w:rFonts w:ascii="Arial" w:hAnsi="Arial"/>
          <w:bCs/>
          <w:iCs/>
          <w:sz w:val="24"/>
          <w:highlight w:val="yellow"/>
        </w:rPr>
        <w:t>a</w:t>
      </w:r>
      <w:r w:rsidRPr="009C2696">
        <w:rPr>
          <w:rFonts w:ascii="Arial" w:hAnsi="Arial"/>
          <w:bCs/>
          <w:iCs/>
          <w:sz w:val="24"/>
          <w:highlight w:val="yellow"/>
        </w:rPr>
        <w:t xml:space="preserve"> concorsual</w:t>
      </w:r>
      <w:r>
        <w:rPr>
          <w:rFonts w:ascii="Arial" w:hAnsi="Arial"/>
          <w:bCs/>
          <w:iCs/>
          <w:sz w:val="24"/>
          <w:highlight w:val="yellow"/>
        </w:rPr>
        <w:t>e</w:t>
      </w:r>
      <w:r w:rsidRPr="003F0DE4">
        <w:rPr>
          <w:rFonts w:ascii="Arial" w:hAnsi="Arial"/>
          <w:bCs/>
          <w:iCs/>
          <w:sz w:val="24"/>
          <w:highlight w:val="yellow"/>
        </w:rPr>
        <w:t>.</w:t>
      </w:r>
    </w:p>
    <w:p w:rsidR="00A16116" w:rsidRDefault="00A16116" w:rsidP="00A16116">
      <w:pPr>
        <w:autoSpaceDE w:val="0"/>
        <w:autoSpaceDN w:val="0"/>
        <w:adjustRightInd w:val="0"/>
        <w:ind w:left="540" w:right="585"/>
        <w:jc w:val="both"/>
        <w:rPr>
          <w:rFonts w:ascii="Arial" w:hAnsi="Arial"/>
          <w:bCs/>
          <w:iCs/>
          <w:sz w:val="24"/>
        </w:rPr>
      </w:pPr>
    </w:p>
    <w:p w:rsidR="00A16116" w:rsidRDefault="00A16116" w:rsidP="00A16116">
      <w:pPr>
        <w:autoSpaceDE w:val="0"/>
        <w:autoSpaceDN w:val="0"/>
        <w:adjustRightInd w:val="0"/>
        <w:ind w:left="540" w:right="585"/>
        <w:jc w:val="both"/>
        <w:rPr>
          <w:rFonts w:ascii="Arial" w:hAnsi="Arial"/>
          <w:bCs/>
          <w:iCs/>
          <w:sz w:val="24"/>
        </w:rPr>
      </w:pPr>
      <w:r w:rsidRPr="0013778D">
        <w:rPr>
          <w:rFonts w:ascii="Arial" w:hAnsi="Arial"/>
          <w:bCs/>
          <w:iCs/>
          <w:sz w:val="24"/>
        </w:rPr>
        <w:t xml:space="preserve">In aggiunta ai corrispettivi sopra elencati, l’Impresa di Stoccaggio mensilmente provvederà a determinare la quota-parte del corrispettivo di capacità di trasporto complessivamente dovuto all’Impresa Maggiore di Trasporto di competenza di ciascun Utente. Detta quota, riferita al punto di entrata/uscita della rete di trasporto interconnesso con il Sistema di Stoccaggio, </w:t>
      </w:r>
      <w:r w:rsidRPr="007049C1">
        <w:rPr>
          <w:rFonts w:ascii="Arial" w:hAnsi="Arial"/>
          <w:bCs/>
          <w:iCs/>
          <w:sz w:val="24"/>
        </w:rPr>
        <w:t xml:space="preserve">è proporzionale alla massima capacità di Erogazione/Iniezione conferita ad ogni Utente nel corso del mese in </w:t>
      </w:r>
      <w:r w:rsidRPr="007049C1">
        <w:rPr>
          <w:rFonts w:ascii="Arial" w:hAnsi="Arial"/>
          <w:bCs/>
          <w:iCs/>
          <w:sz w:val="24"/>
        </w:rPr>
        <w:lastRenderedPageBreak/>
        <w:t>oggetto.</w:t>
      </w:r>
      <w:r w:rsidRPr="00472D66">
        <w:rPr>
          <w:rFonts w:ascii="Arial" w:hAnsi="Arial"/>
          <w:bCs/>
          <w:iCs/>
          <w:sz w:val="24"/>
        </w:rPr>
        <w:t xml:space="preserve"> </w:t>
      </w:r>
      <w:r w:rsidRPr="0013778D">
        <w:rPr>
          <w:rFonts w:ascii="Arial" w:hAnsi="Arial"/>
          <w:bCs/>
          <w:iCs/>
          <w:sz w:val="24"/>
        </w:rPr>
        <w:t>Nel calcolo della quota, l’Impresa di Stoccaggio terrà conto delle cessioni e dei trasferimenti di capacità di cui al Cap. 7 o di acquisti o vendite per il Servizio Bilanciamento Utenti.</w:t>
      </w:r>
    </w:p>
    <w:p w:rsidR="00A16116" w:rsidRDefault="00A16116" w:rsidP="00A16116">
      <w:pPr>
        <w:autoSpaceDE w:val="0"/>
        <w:autoSpaceDN w:val="0"/>
        <w:adjustRightInd w:val="0"/>
        <w:ind w:left="540" w:right="585"/>
        <w:jc w:val="both"/>
        <w:rPr>
          <w:rFonts w:ascii="Arial" w:hAnsi="Arial"/>
          <w:bCs/>
          <w:iCs/>
          <w:sz w:val="24"/>
        </w:rPr>
      </w:pPr>
    </w:p>
    <w:p w:rsidR="00A16116" w:rsidRPr="0013778D" w:rsidRDefault="00A16116" w:rsidP="00A16116">
      <w:pPr>
        <w:autoSpaceDE w:val="0"/>
        <w:autoSpaceDN w:val="0"/>
        <w:adjustRightInd w:val="0"/>
        <w:ind w:left="540" w:right="585"/>
        <w:jc w:val="both"/>
        <w:rPr>
          <w:rFonts w:ascii="Arial" w:hAnsi="Arial"/>
          <w:bCs/>
          <w:iCs/>
          <w:sz w:val="24"/>
          <w:highlight w:val="yellow"/>
        </w:rPr>
      </w:pPr>
      <w:r w:rsidRPr="0013778D">
        <w:rPr>
          <w:rFonts w:ascii="Arial" w:hAnsi="Arial"/>
          <w:bCs/>
          <w:iCs/>
          <w:sz w:val="24"/>
          <w:highlight w:val="yellow"/>
        </w:rPr>
        <w:t>In particolare si specifica che ai fini della determinazione della definizione della massima capacità di Erogazione/Iniezione saranno applicati i criteri di cui al paragrafo 17.1.2 del presente Codice.</w:t>
      </w:r>
    </w:p>
    <w:p w:rsidR="00A16116" w:rsidRPr="0013778D" w:rsidRDefault="00A16116" w:rsidP="00A16116">
      <w:pPr>
        <w:autoSpaceDE w:val="0"/>
        <w:autoSpaceDN w:val="0"/>
        <w:adjustRightInd w:val="0"/>
        <w:ind w:left="540" w:right="585"/>
        <w:jc w:val="both"/>
        <w:rPr>
          <w:rFonts w:ascii="Arial" w:hAnsi="Arial"/>
          <w:bCs/>
          <w:iCs/>
          <w:sz w:val="24"/>
          <w:highlight w:val="yellow"/>
        </w:rPr>
      </w:pPr>
      <w:r w:rsidRPr="0013778D">
        <w:rPr>
          <w:rFonts w:ascii="Arial" w:hAnsi="Arial"/>
          <w:bCs/>
          <w:iCs/>
          <w:sz w:val="24"/>
          <w:highlight w:val="yellow"/>
        </w:rPr>
        <w:t xml:space="preserve">Inoltre i costi di capacità di trasporto conseguenti a cessioni o transazioni di capacità di Erogazione e/o di capacità di Iniezione continua sia ai sensi di quanto stabilito al capitolo 7 sia ceduti o acquisiti tra Utenti nelle sessioni del Servizio di Bilanciamento Utenti saranno addebitati  all’Utente cessionario e/o acquirente e detratti all’Utente cedente e/o venditore applicando un criterio “pro die” rispetto al periodo oggetto della cessione/transazione o vendita. </w:t>
      </w:r>
    </w:p>
    <w:p w:rsidR="00A16116" w:rsidRPr="0013778D" w:rsidRDefault="00A16116" w:rsidP="00A16116">
      <w:pPr>
        <w:autoSpaceDE w:val="0"/>
        <w:autoSpaceDN w:val="0"/>
        <w:adjustRightInd w:val="0"/>
        <w:ind w:left="540" w:right="585"/>
        <w:jc w:val="both"/>
        <w:rPr>
          <w:rFonts w:ascii="Arial" w:hAnsi="Arial"/>
          <w:bCs/>
          <w:iCs/>
          <w:sz w:val="24"/>
          <w:highlight w:val="yellow"/>
        </w:rPr>
      </w:pPr>
    </w:p>
    <w:p w:rsidR="00A16116" w:rsidRPr="00FD4086" w:rsidRDefault="00A16116" w:rsidP="00A16116">
      <w:pPr>
        <w:autoSpaceDE w:val="0"/>
        <w:autoSpaceDN w:val="0"/>
        <w:adjustRightInd w:val="0"/>
        <w:ind w:left="540" w:right="585"/>
        <w:jc w:val="both"/>
        <w:rPr>
          <w:rFonts w:ascii="Arial" w:hAnsi="Arial"/>
          <w:bCs/>
          <w:iCs/>
          <w:sz w:val="24"/>
          <w:highlight w:val="yellow"/>
        </w:rPr>
      </w:pPr>
      <w:r w:rsidRPr="00FD4086">
        <w:rPr>
          <w:rFonts w:ascii="Arial" w:hAnsi="Arial"/>
          <w:bCs/>
          <w:iCs/>
          <w:sz w:val="24"/>
          <w:highlight w:val="yellow"/>
        </w:rPr>
        <w:t>Inoltre, ai fini della copertura dei costi di trasporto associati ai punti di uscita interconnessi con gli stoccaggi il relativo corrispettivo unitario è applicato, sia per il servizio di modulazione con iniezione stagionale che per il servizio di modulazione con iniezione mensile, al quantitativo di gas q</w:t>
      </w:r>
      <w:r w:rsidRPr="00FD4086">
        <w:rPr>
          <w:rFonts w:ascii="Arial" w:hAnsi="Arial"/>
          <w:bCs/>
          <w:iCs/>
          <w:sz w:val="24"/>
          <w:highlight w:val="yellow"/>
          <w:vertAlign w:val="subscript"/>
        </w:rPr>
        <w:t>u</w:t>
      </w:r>
      <w:r w:rsidRPr="00FD4086">
        <w:rPr>
          <w:rFonts w:ascii="Arial" w:hAnsi="Arial"/>
          <w:bCs/>
          <w:iCs/>
          <w:sz w:val="24"/>
          <w:highlight w:val="yellow"/>
        </w:rPr>
        <w:t xml:space="preserve"> pari a:</w:t>
      </w:r>
    </w:p>
    <w:p w:rsidR="00A16116" w:rsidRPr="00FD4086" w:rsidRDefault="00A16116" w:rsidP="00A16116">
      <w:pPr>
        <w:autoSpaceDE w:val="0"/>
        <w:autoSpaceDN w:val="0"/>
        <w:adjustRightInd w:val="0"/>
        <w:ind w:left="540" w:right="585"/>
        <w:jc w:val="both"/>
        <w:rPr>
          <w:rFonts w:ascii="Arial" w:hAnsi="Arial"/>
          <w:bCs/>
          <w:iCs/>
          <w:sz w:val="24"/>
          <w:highlight w:val="yellow"/>
        </w:rPr>
      </w:pPr>
    </w:p>
    <w:p w:rsidR="00A16116" w:rsidRPr="00FD4086" w:rsidRDefault="00A16116" w:rsidP="00A16116">
      <w:pPr>
        <w:autoSpaceDE w:val="0"/>
        <w:autoSpaceDN w:val="0"/>
        <w:adjustRightInd w:val="0"/>
        <w:ind w:left="540" w:right="585"/>
        <w:jc w:val="both"/>
        <w:rPr>
          <w:rFonts w:ascii="Arial" w:hAnsi="Arial"/>
          <w:bCs/>
          <w:iCs/>
          <w:sz w:val="24"/>
          <w:highlight w:val="yellow"/>
        </w:rPr>
      </w:pPr>
    </w:p>
    <w:p w:rsidR="00A16116" w:rsidRPr="00FD4086" w:rsidRDefault="00A16116" w:rsidP="00A16116">
      <w:pPr>
        <w:autoSpaceDE w:val="0"/>
        <w:autoSpaceDN w:val="0"/>
        <w:adjustRightInd w:val="0"/>
        <w:ind w:left="540" w:right="585"/>
        <w:jc w:val="center"/>
        <w:rPr>
          <w:rFonts w:ascii="Arial" w:hAnsi="Arial" w:cs="Arial"/>
          <w:bCs/>
          <w:iCs/>
          <w:sz w:val="24"/>
          <w:highlight w:val="yellow"/>
        </w:rPr>
      </w:pPr>
      <w:r w:rsidRPr="00FD4086">
        <w:rPr>
          <w:rFonts w:ascii="Arial" w:hAnsi="Arial" w:cs="Arial"/>
          <w:bCs/>
          <w:iCs/>
          <w:sz w:val="24"/>
          <w:szCs w:val="24"/>
          <w:highlight w:val="yellow"/>
        </w:rPr>
        <w:t>q</w:t>
      </w:r>
      <w:r w:rsidRPr="00FD4086">
        <w:rPr>
          <w:rFonts w:ascii="Cambria Math" w:hAnsi="Cambria Math" w:cs="Cambria Math"/>
          <w:bCs/>
          <w:iCs/>
          <w:sz w:val="24"/>
          <w:szCs w:val="24"/>
          <w:highlight w:val="yellow"/>
        </w:rPr>
        <w:t>𝑢</w:t>
      </w:r>
      <w:r w:rsidRPr="00FD4086">
        <w:rPr>
          <w:rFonts w:ascii="Arial" w:hAnsi="Arial" w:cs="Arial"/>
          <w:bCs/>
          <w:iCs/>
          <w:sz w:val="24"/>
          <w:szCs w:val="24"/>
          <w:highlight w:val="yellow"/>
        </w:rPr>
        <w:t xml:space="preserve"> =  </w:t>
      </w:r>
      <m:oMath>
        <m:sSub>
          <m:sSubPr>
            <m:ctrlPr>
              <w:rPr>
                <w:rFonts w:ascii="Cambria Math" w:hAnsi="Cambria Math" w:cs="Arial"/>
                <w:bCs/>
                <w:i/>
                <w:iCs/>
                <w:sz w:val="32"/>
                <w:szCs w:val="32"/>
              </w:rPr>
            </m:ctrlPr>
          </m:sSubPr>
          <m:e>
            <m:f>
              <m:fPr>
                <m:ctrlPr>
                  <w:rPr>
                    <w:rFonts w:ascii="Cambria Math" w:hAnsi="Cambria Math" w:cs="Arial"/>
                    <w:bCs/>
                    <w:i/>
                    <w:iCs/>
                    <w:sz w:val="32"/>
                    <w:szCs w:val="32"/>
                    <w:highlight w:val="yellow"/>
                  </w:rPr>
                </m:ctrlPr>
              </m:fPr>
              <m:num>
                <m:sSub>
                  <m:sSubPr>
                    <m:ctrlPr>
                      <w:rPr>
                        <w:rFonts w:ascii="Cambria Math" w:hAnsi="Cambria Math" w:cs="Arial"/>
                        <w:sz w:val="32"/>
                        <w:szCs w:val="32"/>
                      </w:rPr>
                    </m:ctrlPr>
                  </m:sSubPr>
                  <m:e>
                    <m:r>
                      <m:rPr>
                        <m:sty m:val="p"/>
                      </m:rPr>
                      <w:rPr>
                        <w:rFonts w:ascii="Cambria Math" w:hAnsi="Cambria Math" w:cs="Arial"/>
                        <w:sz w:val="32"/>
                        <w:szCs w:val="32"/>
                      </w:rPr>
                      <m:t>CI</m:t>
                    </m:r>
                  </m:e>
                  <m:sub>
                    <m:r>
                      <m:rPr>
                        <m:sty m:val="p"/>
                      </m:rPr>
                      <w:rPr>
                        <w:rFonts w:ascii="Cambria Math" w:hAnsi="Cambria Math" w:cs="Arial"/>
                        <w:sz w:val="32"/>
                        <w:szCs w:val="32"/>
                      </w:rPr>
                      <m:t>u</m:t>
                    </m:r>
                  </m:sub>
                </m:sSub>
              </m:num>
              <m:den>
                <m:r>
                  <m:rPr>
                    <m:sty m:val="p"/>
                  </m:rPr>
                  <w:rPr>
                    <w:rFonts w:ascii="Cambria Math" w:hAnsi="Cambria Math" w:cs="Arial"/>
                    <w:sz w:val="32"/>
                    <w:szCs w:val="32"/>
                    <w:highlight w:val="yellow"/>
                  </w:rPr>
                  <m:t>C</m:t>
                </m:r>
                <m:r>
                  <m:rPr>
                    <m:sty m:val="p"/>
                  </m:rPr>
                  <w:rPr>
                    <w:rFonts w:ascii="Cambria Math" w:hAnsi="Cambria Math" w:cs="Arial"/>
                    <w:sz w:val="32"/>
                    <w:szCs w:val="32"/>
                    <w:highlight w:val="yellow"/>
                    <w:vertAlign w:val="subscript"/>
                  </w:rPr>
                  <m:t>I</m:t>
                </m:r>
              </m:den>
            </m:f>
          </m:e>
          <m:sub>
            <m:r>
              <w:rPr>
                <w:rFonts w:ascii="Cambria Math" w:hAnsi="Cambria Math" w:cs="Arial"/>
                <w:sz w:val="32"/>
                <w:szCs w:val="32"/>
              </w:rPr>
              <m:t>t</m:t>
            </m:r>
          </m:sub>
        </m:sSub>
      </m:oMath>
      <w:r w:rsidRPr="00FD4086">
        <w:rPr>
          <w:rFonts w:ascii="Arial" w:hAnsi="Arial" w:cs="Arial"/>
          <w:bCs/>
          <w:iCs/>
          <w:sz w:val="24"/>
          <w:highlight w:val="yellow"/>
        </w:rPr>
        <w:t xml:space="preserve"> * </w:t>
      </w:r>
      <w:r w:rsidRPr="00FD4086">
        <w:rPr>
          <w:rFonts w:ascii="Cambria Math" w:hAnsi="Cambria Math" w:cs="Cambria Math"/>
          <w:bCs/>
          <w:iCs/>
          <w:sz w:val="24"/>
          <w:szCs w:val="24"/>
          <w:highlight w:val="yellow"/>
        </w:rPr>
        <w:t>𝑃𝐼</w:t>
      </w:r>
      <w:r w:rsidRPr="00CB69F6">
        <w:rPr>
          <w:rFonts w:ascii="Cambria Math" w:hAnsi="Cambria Math" w:cs="Cambria Math"/>
          <w:bCs/>
          <w:iCs/>
          <w:sz w:val="24"/>
          <w:szCs w:val="24"/>
          <w:highlight w:val="yellow"/>
          <w:vertAlign w:val="subscript"/>
        </w:rPr>
        <w:t>𝑚𝑎𝑥</w:t>
      </w:r>
      <w:r w:rsidRPr="00FD4086">
        <w:rPr>
          <w:rFonts w:ascii="Cambria Math" w:hAnsi="Cambria Math" w:cs="Cambria Math"/>
          <w:bCs/>
          <w:iCs/>
          <w:sz w:val="24"/>
          <w:szCs w:val="24"/>
          <w:highlight w:val="yellow"/>
        </w:rPr>
        <w:t xml:space="preserve">   [GJ/g]</w:t>
      </w: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r w:rsidRPr="00FD4086">
        <w:rPr>
          <w:rFonts w:ascii="Arial" w:hAnsi="Arial" w:cs="Arial"/>
          <w:bCs/>
          <w:iCs/>
          <w:sz w:val="24"/>
          <w:szCs w:val="24"/>
          <w:highlight w:val="yellow"/>
        </w:rPr>
        <w:t>dove:</w:t>
      </w: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proofErr w:type="spellStart"/>
      <w:r>
        <w:rPr>
          <w:rFonts w:ascii="Arial" w:hAnsi="Arial" w:cs="Arial"/>
          <w:bCs/>
          <w:iCs/>
          <w:sz w:val="24"/>
          <w:szCs w:val="24"/>
          <w:highlight w:val="yellow"/>
        </w:rPr>
        <w:t>CI</w:t>
      </w:r>
      <w:r w:rsidRPr="00CB69F6">
        <w:rPr>
          <w:rFonts w:ascii="Arial" w:hAnsi="Arial" w:cs="Arial"/>
          <w:bCs/>
          <w:iCs/>
          <w:sz w:val="24"/>
          <w:szCs w:val="24"/>
          <w:highlight w:val="yellow"/>
          <w:vertAlign w:val="subscript"/>
        </w:rPr>
        <w:t>u</w:t>
      </w:r>
      <w:proofErr w:type="spellEnd"/>
      <w:r>
        <w:rPr>
          <w:rFonts w:ascii="Arial" w:hAnsi="Arial" w:cs="Arial"/>
          <w:bCs/>
          <w:iCs/>
          <w:sz w:val="24"/>
          <w:szCs w:val="24"/>
          <w:highlight w:val="yellow"/>
        </w:rPr>
        <w:t xml:space="preserve"> </w:t>
      </w:r>
      <w:r w:rsidRPr="00FD4086">
        <w:rPr>
          <w:rFonts w:ascii="Arial" w:hAnsi="Arial" w:cs="Arial"/>
          <w:bCs/>
          <w:iCs/>
          <w:sz w:val="24"/>
          <w:szCs w:val="24"/>
          <w:highlight w:val="yellow"/>
        </w:rPr>
        <w:t xml:space="preserve">è la capacità di iniezione conferita all’utente </w:t>
      </w:r>
      <w:r>
        <w:rPr>
          <w:rFonts w:ascii="Arial" w:hAnsi="Arial" w:cs="Arial"/>
          <w:bCs/>
          <w:iCs/>
          <w:sz w:val="24"/>
          <w:szCs w:val="24"/>
          <w:highlight w:val="yellow"/>
        </w:rPr>
        <w:t>u</w:t>
      </w:r>
      <w:r w:rsidRPr="00FD4086">
        <w:rPr>
          <w:rFonts w:ascii="Arial" w:hAnsi="Arial" w:cs="Arial"/>
          <w:bCs/>
          <w:iCs/>
          <w:sz w:val="24"/>
          <w:szCs w:val="24"/>
          <w:highlight w:val="yellow"/>
        </w:rPr>
        <w:t>;</w:t>
      </w: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proofErr w:type="spellStart"/>
      <w:r>
        <w:rPr>
          <w:rFonts w:ascii="Arial" w:hAnsi="Arial" w:cs="Arial"/>
          <w:bCs/>
          <w:iCs/>
          <w:sz w:val="24"/>
          <w:szCs w:val="24"/>
          <w:highlight w:val="yellow"/>
        </w:rPr>
        <w:t>CIt</w:t>
      </w:r>
      <w:proofErr w:type="spellEnd"/>
      <w:r w:rsidRPr="00FD4086">
        <w:rPr>
          <w:rFonts w:ascii="Cambria Math" w:hAnsi="Cambria Math" w:cs="Cambria Math"/>
          <w:bCs/>
          <w:iCs/>
          <w:sz w:val="24"/>
          <w:szCs w:val="24"/>
          <w:highlight w:val="yellow"/>
        </w:rPr>
        <w:t xml:space="preserve"> </w:t>
      </w:r>
      <w:r w:rsidRPr="00FD4086">
        <w:rPr>
          <w:rFonts w:ascii="Arial" w:hAnsi="Arial" w:cs="Arial"/>
          <w:bCs/>
          <w:iCs/>
          <w:sz w:val="24"/>
          <w:szCs w:val="24"/>
          <w:highlight w:val="yellow"/>
        </w:rPr>
        <w:t>è la capacità di iniezione associata al complesso delle capacità di spazio per il servizio di modulazione;</w:t>
      </w: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r w:rsidRPr="00FD4086">
        <w:rPr>
          <w:rFonts w:ascii="Cambria Math" w:hAnsi="Cambria Math" w:cs="Cambria Math"/>
          <w:bCs/>
          <w:iCs/>
          <w:sz w:val="24"/>
          <w:szCs w:val="24"/>
          <w:highlight w:val="yellow"/>
        </w:rPr>
        <w:t>𝑃𝐼</w:t>
      </w:r>
      <w:r w:rsidRPr="00CB69F6">
        <w:rPr>
          <w:rFonts w:ascii="Cambria Math" w:hAnsi="Cambria Math" w:cs="Cambria Math"/>
          <w:bCs/>
          <w:iCs/>
          <w:sz w:val="24"/>
          <w:szCs w:val="24"/>
          <w:highlight w:val="yellow"/>
          <w:vertAlign w:val="subscript"/>
        </w:rPr>
        <w:t>𝑚𝑎𝑥</w:t>
      </w:r>
      <w:r w:rsidRPr="00FD4086">
        <w:rPr>
          <w:rFonts w:ascii="Arial" w:hAnsi="Arial" w:cs="Arial"/>
          <w:bCs/>
          <w:iCs/>
          <w:sz w:val="24"/>
          <w:szCs w:val="24"/>
          <w:highlight w:val="yellow"/>
        </w:rPr>
        <w:t xml:space="preserve"> è la prestazione di iniezione complessiva ad inizio anno termico per il servizio di modulazione.</w:t>
      </w:r>
    </w:p>
    <w:p w:rsidR="00A16116" w:rsidRPr="00FD4086" w:rsidRDefault="00A16116" w:rsidP="00A16116">
      <w:pPr>
        <w:autoSpaceDE w:val="0"/>
        <w:autoSpaceDN w:val="0"/>
        <w:adjustRightInd w:val="0"/>
        <w:ind w:right="585"/>
        <w:jc w:val="both"/>
        <w:rPr>
          <w:rFonts w:ascii="Arial" w:hAnsi="Arial" w:cs="Arial"/>
          <w:bCs/>
          <w:iCs/>
          <w:sz w:val="24"/>
          <w:szCs w:val="24"/>
          <w:highlight w:val="yellow"/>
        </w:rPr>
      </w:pPr>
    </w:p>
    <w:p w:rsidR="00A16116" w:rsidRPr="00FD4086" w:rsidRDefault="00A16116" w:rsidP="00A16116">
      <w:pPr>
        <w:autoSpaceDE w:val="0"/>
        <w:autoSpaceDN w:val="0"/>
        <w:adjustRightInd w:val="0"/>
        <w:ind w:left="540" w:right="585"/>
        <w:jc w:val="both"/>
        <w:rPr>
          <w:rFonts w:ascii="Arial" w:hAnsi="Arial" w:cs="Arial"/>
          <w:bCs/>
          <w:iCs/>
          <w:sz w:val="24"/>
          <w:szCs w:val="24"/>
          <w:highlight w:val="yellow"/>
        </w:rPr>
      </w:pPr>
      <w:r w:rsidRPr="00FD4086">
        <w:rPr>
          <w:rFonts w:ascii="Arial" w:hAnsi="Arial" w:cs="Arial"/>
          <w:bCs/>
          <w:iCs/>
          <w:sz w:val="24"/>
          <w:szCs w:val="24"/>
          <w:highlight w:val="yellow"/>
        </w:rPr>
        <w:t>Il valore di q</w:t>
      </w:r>
      <w:r w:rsidRPr="00FD4086">
        <w:rPr>
          <w:rFonts w:ascii="Arial" w:hAnsi="Arial" w:cs="Arial"/>
          <w:bCs/>
          <w:iCs/>
          <w:sz w:val="24"/>
          <w:szCs w:val="24"/>
          <w:highlight w:val="yellow"/>
          <w:vertAlign w:val="subscript"/>
        </w:rPr>
        <w:t>u</w:t>
      </w:r>
      <w:r w:rsidRPr="00FD4086">
        <w:rPr>
          <w:rFonts w:ascii="Arial" w:hAnsi="Arial" w:cs="Arial"/>
          <w:bCs/>
          <w:iCs/>
          <w:sz w:val="24"/>
          <w:szCs w:val="24"/>
          <w:highlight w:val="yellow"/>
        </w:rPr>
        <w:t xml:space="preserve"> è pubblicato sul sito internet dell’Impresa di Stoccaggio prima dell’avvio delle procedure concorsuali di conferimento.</w:t>
      </w:r>
    </w:p>
    <w:p w:rsidR="00A16116" w:rsidRDefault="00A16116" w:rsidP="00A16116">
      <w:pPr>
        <w:autoSpaceDE w:val="0"/>
        <w:autoSpaceDN w:val="0"/>
        <w:adjustRightInd w:val="0"/>
        <w:ind w:left="540" w:right="585"/>
        <w:jc w:val="both"/>
        <w:rPr>
          <w:rFonts w:ascii="Arial" w:hAnsi="Arial"/>
          <w:bCs/>
          <w:iCs/>
          <w:sz w:val="24"/>
          <w:highlight w:val="yellow"/>
        </w:rPr>
      </w:pPr>
    </w:p>
    <w:p w:rsidR="00A16116" w:rsidRPr="00062420" w:rsidRDefault="00A16116" w:rsidP="00A16116">
      <w:pPr>
        <w:autoSpaceDE w:val="0"/>
        <w:autoSpaceDN w:val="0"/>
        <w:adjustRightInd w:val="0"/>
        <w:ind w:left="540" w:right="585"/>
        <w:jc w:val="both"/>
        <w:rPr>
          <w:rFonts w:ascii="Arial" w:hAnsi="Arial"/>
          <w:bCs/>
          <w:iCs/>
          <w:sz w:val="24"/>
          <w:highlight w:val="yellow"/>
        </w:rPr>
      </w:pPr>
      <w:r w:rsidRPr="00062420">
        <w:rPr>
          <w:rFonts w:ascii="Arial" w:hAnsi="Arial"/>
          <w:bCs/>
          <w:iCs/>
          <w:sz w:val="24"/>
          <w:highlight w:val="yellow"/>
        </w:rPr>
        <w:t xml:space="preserve">Infine, ai fini della copertura dei costi di trasporto associati ai punti di entrata interconnessi con gli stoccaggi il relativo corrispettivo unitario è applicato al quantitativo di gas </w:t>
      </w:r>
      <w:proofErr w:type="spellStart"/>
      <w:r w:rsidRPr="00062420">
        <w:rPr>
          <w:rFonts w:ascii="Arial" w:hAnsi="Arial"/>
          <w:bCs/>
          <w:iCs/>
          <w:sz w:val="24"/>
          <w:highlight w:val="yellow"/>
        </w:rPr>
        <w:t>q</w:t>
      </w:r>
      <w:r w:rsidRPr="00062420">
        <w:rPr>
          <w:rFonts w:ascii="Arial" w:hAnsi="Arial"/>
          <w:bCs/>
          <w:iCs/>
          <w:sz w:val="24"/>
          <w:highlight w:val="yellow"/>
          <w:vertAlign w:val="subscript"/>
        </w:rPr>
        <w:t>e</w:t>
      </w:r>
      <w:proofErr w:type="spellEnd"/>
      <w:r w:rsidRPr="00062420">
        <w:rPr>
          <w:rFonts w:ascii="Arial" w:hAnsi="Arial"/>
          <w:bCs/>
          <w:iCs/>
          <w:sz w:val="24"/>
          <w:highlight w:val="yellow"/>
        </w:rPr>
        <w:t xml:space="preserve"> pari a:</w:t>
      </w:r>
    </w:p>
    <w:p w:rsidR="00A16116" w:rsidRPr="00062420" w:rsidRDefault="00A16116" w:rsidP="00A16116">
      <w:pPr>
        <w:autoSpaceDE w:val="0"/>
        <w:autoSpaceDN w:val="0"/>
        <w:adjustRightInd w:val="0"/>
        <w:ind w:left="540" w:right="585"/>
        <w:jc w:val="both"/>
        <w:rPr>
          <w:rFonts w:ascii="Arial" w:hAnsi="Arial"/>
          <w:bCs/>
          <w:iCs/>
          <w:sz w:val="24"/>
          <w:highlight w:val="yellow"/>
        </w:rPr>
      </w:pPr>
    </w:p>
    <w:p w:rsidR="00A16116" w:rsidRPr="00062420" w:rsidRDefault="00A16116" w:rsidP="00A16116">
      <w:pPr>
        <w:autoSpaceDE w:val="0"/>
        <w:autoSpaceDN w:val="0"/>
        <w:adjustRightInd w:val="0"/>
        <w:ind w:left="540" w:right="585"/>
        <w:jc w:val="both"/>
        <w:rPr>
          <w:rFonts w:ascii="Arial" w:hAnsi="Arial"/>
          <w:bCs/>
          <w:iCs/>
          <w:sz w:val="24"/>
          <w:highlight w:val="yellow"/>
        </w:rPr>
      </w:pPr>
    </w:p>
    <w:p w:rsidR="00A16116" w:rsidRPr="00062420" w:rsidRDefault="00A16116" w:rsidP="00A16116">
      <w:pPr>
        <w:autoSpaceDE w:val="0"/>
        <w:autoSpaceDN w:val="0"/>
        <w:adjustRightInd w:val="0"/>
        <w:ind w:left="540" w:right="585"/>
        <w:jc w:val="center"/>
        <w:rPr>
          <w:rFonts w:ascii="Arial" w:hAnsi="Arial" w:cs="Arial"/>
          <w:bCs/>
          <w:iCs/>
          <w:sz w:val="24"/>
          <w:highlight w:val="yellow"/>
        </w:rPr>
      </w:pPr>
      <w:proofErr w:type="spellStart"/>
      <w:r w:rsidRPr="00062420">
        <w:rPr>
          <w:rFonts w:ascii="Arial" w:hAnsi="Arial" w:cs="Arial"/>
          <w:bCs/>
          <w:iCs/>
          <w:sz w:val="24"/>
          <w:szCs w:val="24"/>
          <w:highlight w:val="yellow"/>
        </w:rPr>
        <w:t>q</w:t>
      </w:r>
      <w:r w:rsidRPr="00062420">
        <w:rPr>
          <w:rFonts w:ascii="Cambria Math" w:hAnsi="Cambria Math" w:cs="Cambria Math"/>
          <w:bCs/>
          <w:iCs/>
          <w:sz w:val="24"/>
          <w:szCs w:val="24"/>
          <w:highlight w:val="yellow"/>
        </w:rPr>
        <w:t>e</w:t>
      </w:r>
      <w:proofErr w:type="spellEnd"/>
      <w:r w:rsidRPr="00062420">
        <w:rPr>
          <w:rFonts w:ascii="Arial" w:hAnsi="Arial" w:cs="Arial"/>
          <w:bCs/>
          <w:iCs/>
          <w:sz w:val="24"/>
          <w:szCs w:val="24"/>
          <w:highlight w:val="yellow"/>
        </w:rPr>
        <w:t xml:space="preserve"> =  </w:t>
      </w:r>
      <m:oMath>
        <m:f>
          <m:fPr>
            <m:ctrlPr>
              <w:rPr>
                <w:rFonts w:ascii="Cambria Math" w:hAnsi="Cambria Math" w:cs="Arial"/>
                <w:bCs/>
                <w:i/>
                <w:iCs/>
                <w:sz w:val="32"/>
                <w:szCs w:val="32"/>
                <w:highlight w:val="yellow"/>
              </w:rPr>
            </m:ctrlPr>
          </m:fPr>
          <m:num>
            <m:sSub>
              <m:sSubPr>
                <m:ctrlPr>
                  <w:rPr>
                    <w:rFonts w:ascii="Cambria Math" w:hAnsi="Cambria Math" w:cs="Arial"/>
                    <w:sz w:val="32"/>
                    <w:szCs w:val="32"/>
                    <w:highlight w:val="yellow"/>
                  </w:rPr>
                </m:ctrlPr>
              </m:sSubPr>
              <m:e>
                <m:r>
                  <m:rPr>
                    <m:sty m:val="p"/>
                  </m:rPr>
                  <w:rPr>
                    <w:rFonts w:ascii="Cambria Math" w:hAnsi="Cambria Math" w:cs="Arial"/>
                    <w:sz w:val="32"/>
                    <w:szCs w:val="32"/>
                    <w:highlight w:val="yellow"/>
                  </w:rPr>
                  <m:t>CE</m:t>
                </m:r>
              </m:e>
              <m:sub>
                <m:r>
                  <m:rPr>
                    <m:sty m:val="p"/>
                  </m:rPr>
                  <w:rPr>
                    <w:rFonts w:ascii="Cambria Math" w:hAnsi="Cambria Math" w:cs="Arial"/>
                    <w:sz w:val="32"/>
                    <w:szCs w:val="32"/>
                    <w:highlight w:val="yellow"/>
                  </w:rPr>
                  <m:t>u</m:t>
                </m:r>
              </m:sub>
            </m:sSub>
          </m:num>
          <m:den>
            <m:sSub>
              <m:sSubPr>
                <m:ctrlPr>
                  <w:rPr>
                    <w:rFonts w:ascii="Cambria Math" w:hAnsi="Cambria Math" w:cs="Arial"/>
                    <w:sz w:val="32"/>
                    <w:szCs w:val="32"/>
                    <w:highlight w:val="yellow"/>
                  </w:rPr>
                </m:ctrlPr>
              </m:sSubPr>
              <m:e>
                <m:r>
                  <m:rPr>
                    <m:sty m:val="p"/>
                  </m:rPr>
                  <w:rPr>
                    <w:rFonts w:ascii="Cambria Math" w:hAnsi="Cambria Math" w:cs="Arial"/>
                    <w:sz w:val="32"/>
                    <w:szCs w:val="32"/>
                    <w:highlight w:val="yellow"/>
                  </w:rPr>
                  <m:t>CE</m:t>
                </m:r>
              </m:e>
              <m:sub>
                <m:r>
                  <w:rPr>
                    <w:rFonts w:ascii="Cambria Math" w:hAnsi="Cambria Math" w:cs="Arial"/>
                    <w:sz w:val="32"/>
                    <w:szCs w:val="32"/>
                    <w:highlight w:val="yellow"/>
                  </w:rPr>
                  <m:t>t</m:t>
                </m:r>
              </m:sub>
            </m:sSub>
          </m:den>
        </m:f>
      </m:oMath>
      <w:r w:rsidRPr="00062420">
        <w:rPr>
          <w:rFonts w:ascii="Arial" w:hAnsi="Arial" w:cs="Arial"/>
          <w:bCs/>
          <w:iCs/>
          <w:sz w:val="24"/>
          <w:highlight w:val="yellow"/>
        </w:rPr>
        <w:t xml:space="preserve"> * </w:t>
      </w:r>
      <w:r w:rsidRPr="00062420">
        <w:rPr>
          <w:rFonts w:ascii="Cambria Math" w:hAnsi="Cambria Math" w:cs="Cambria Math"/>
          <w:bCs/>
          <w:iCs/>
          <w:sz w:val="24"/>
          <w:szCs w:val="24"/>
          <w:highlight w:val="yellow"/>
        </w:rPr>
        <w:t>𝑃</w:t>
      </w:r>
      <w:r w:rsidRPr="00062420">
        <w:rPr>
          <w:rFonts w:ascii="Cambria Math" w:hAnsi="Cambria Math" w:cs="Cambria Math"/>
          <w:bCs/>
          <w:i/>
          <w:iCs/>
          <w:sz w:val="24"/>
          <w:szCs w:val="24"/>
          <w:highlight w:val="yellow"/>
        </w:rPr>
        <w:t>E</w:t>
      </w:r>
      <w:r w:rsidRPr="00062420">
        <w:rPr>
          <w:rFonts w:ascii="Cambria Math" w:hAnsi="Cambria Math" w:cs="Cambria Math"/>
          <w:bCs/>
          <w:iCs/>
          <w:sz w:val="24"/>
          <w:szCs w:val="24"/>
          <w:highlight w:val="yellow"/>
          <w:vertAlign w:val="subscript"/>
        </w:rPr>
        <w:t>𝑚𝑎𝑥</w:t>
      </w:r>
      <w:r w:rsidRPr="00062420">
        <w:rPr>
          <w:rFonts w:ascii="Cambria Math" w:hAnsi="Cambria Math" w:cs="Cambria Math"/>
          <w:bCs/>
          <w:iCs/>
          <w:sz w:val="24"/>
          <w:szCs w:val="24"/>
          <w:highlight w:val="yellow"/>
        </w:rPr>
        <w:t xml:space="preserve">   [GJ/g]</w:t>
      </w:r>
    </w:p>
    <w:p w:rsidR="00A16116" w:rsidRPr="00062420" w:rsidRDefault="00A16116" w:rsidP="00A16116">
      <w:pPr>
        <w:autoSpaceDE w:val="0"/>
        <w:autoSpaceDN w:val="0"/>
        <w:adjustRightInd w:val="0"/>
        <w:ind w:left="540" w:right="585"/>
        <w:jc w:val="both"/>
        <w:rPr>
          <w:rFonts w:ascii="Arial" w:hAnsi="Arial" w:cs="Arial"/>
          <w:bCs/>
          <w:iCs/>
          <w:sz w:val="24"/>
          <w:szCs w:val="24"/>
          <w:highlight w:val="yellow"/>
        </w:rPr>
      </w:pPr>
    </w:p>
    <w:p w:rsidR="00A16116" w:rsidRPr="00062420" w:rsidRDefault="00A16116" w:rsidP="00A16116">
      <w:pPr>
        <w:autoSpaceDE w:val="0"/>
        <w:autoSpaceDN w:val="0"/>
        <w:adjustRightInd w:val="0"/>
        <w:ind w:left="540" w:right="585"/>
        <w:jc w:val="both"/>
        <w:rPr>
          <w:rFonts w:ascii="Arial" w:hAnsi="Arial" w:cs="Arial"/>
          <w:bCs/>
          <w:iCs/>
          <w:sz w:val="24"/>
          <w:szCs w:val="24"/>
          <w:highlight w:val="yellow"/>
        </w:rPr>
      </w:pPr>
      <w:r w:rsidRPr="00062420">
        <w:rPr>
          <w:rFonts w:ascii="Arial" w:hAnsi="Arial" w:cs="Arial"/>
          <w:bCs/>
          <w:iCs/>
          <w:sz w:val="24"/>
          <w:szCs w:val="24"/>
          <w:highlight w:val="yellow"/>
        </w:rPr>
        <w:t>dove:</w:t>
      </w:r>
    </w:p>
    <w:p w:rsidR="00A16116" w:rsidRPr="00062420" w:rsidRDefault="00A16116" w:rsidP="00A16116">
      <w:pPr>
        <w:autoSpaceDE w:val="0"/>
        <w:autoSpaceDN w:val="0"/>
        <w:adjustRightInd w:val="0"/>
        <w:ind w:left="540" w:right="585"/>
        <w:jc w:val="both"/>
        <w:rPr>
          <w:rFonts w:ascii="Arial" w:hAnsi="Arial" w:cs="Arial"/>
          <w:bCs/>
          <w:iCs/>
          <w:sz w:val="24"/>
          <w:szCs w:val="24"/>
          <w:highlight w:val="yellow"/>
        </w:rPr>
      </w:pPr>
    </w:p>
    <w:p w:rsidR="00A16116" w:rsidRPr="00062420" w:rsidRDefault="00A16116" w:rsidP="00A16116">
      <w:pPr>
        <w:autoSpaceDE w:val="0"/>
        <w:autoSpaceDN w:val="0"/>
        <w:adjustRightInd w:val="0"/>
        <w:ind w:left="540" w:right="585"/>
        <w:jc w:val="both"/>
        <w:rPr>
          <w:rFonts w:ascii="Arial" w:hAnsi="Arial" w:cs="Arial"/>
          <w:bCs/>
          <w:iCs/>
          <w:sz w:val="24"/>
          <w:szCs w:val="24"/>
          <w:highlight w:val="yellow"/>
        </w:rPr>
      </w:pPr>
      <w:r w:rsidRPr="00062420">
        <w:rPr>
          <w:rFonts w:ascii="Cambria Math" w:hAnsi="Cambria Math" w:cs="Cambria Math"/>
          <w:bCs/>
          <w:iCs/>
          <w:sz w:val="24"/>
          <w:szCs w:val="24"/>
          <w:highlight w:val="yellow"/>
        </w:rPr>
        <w:t>𝐶E</w:t>
      </w:r>
      <w:r w:rsidRPr="00062420">
        <w:rPr>
          <w:rFonts w:ascii="Cambria Math" w:hAnsi="Cambria Math" w:cs="Cambria Math"/>
          <w:bCs/>
          <w:iCs/>
          <w:sz w:val="24"/>
          <w:szCs w:val="24"/>
          <w:highlight w:val="yellow"/>
          <w:vertAlign w:val="subscript"/>
        </w:rPr>
        <w:t xml:space="preserve">u </w:t>
      </w:r>
      <w:r w:rsidRPr="00062420">
        <w:rPr>
          <w:rFonts w:ascii="Arial" w:hAnsi="Arial" w:cs="Arial"/>
          <w:bCs/>
          <w:iCs/>
          <w:sz w:val="24"/>
          <w:szCs w:val="24"/>
          <w:highlight w:val="yellow"/>
        </w:rPr>
        <w:t>è la capacità di erogazione conferita all’utente u;</w:t>
      </w:r>
    </w:p>
    <w:p w:rsidR="00A16116" w:rsidRPr="00062420" w:rsidRDefault="00A16116" w:rsidP="00A16116">
      <w:pPr>
        <w:autoSpaceDE w:val="0"/>
        <w:autoSpaceDN w:val="0"/>
        <w:adjustRightInd w:val="0"/>
        <w:ind w:left="540" w:right="585"/>
        <w:jc w:val="both"/>
        <w:rPr>
          <w:rFonts w:ascii="Arial" w:hAnsi="Arial" w:cs="Arial"/>
          <w:bCs/>
          <w:iCs/>
          <w:sz w:val="24"/>
          <w:szCs w:val="24"/>
          <w:highlight w:val="yellow"/>
        </w:rPr>
      </w:pPr>
      <w:r w:rsidRPr="00062420">
        <w:rPr>
          <w:rFonts w:ascii="Cambria Math" w:hAnsi="Cambria Math" w:cs="Cambria Math"/>
          <w:bCs/>
          <w:iCs/>
          <w:sz w:val="24"/>
          <w:szCs w:val="24"/>
          <w:highlight w:val="yellow"/>
        </w:rPr>
        <w:t>𝐶E</w:t>
      </w:r>
      <w:r w:rsidRPr="00062420">
        <w:rPr>
          <w:rFonts w:ascii="Cambria Math" w:hAnsi="Cambria Math" w:cs="Cambria Math"/>
          <w:bCs/>
          <w:iCs/>
          <w:sz w:val="24"/>
          <w:szCs w:val="24"/>
          <w:highlight w:val="yellow"/>
          <w:vertAlign w:val="subscript"/>
        </w:rPr>
        <w:t>𝑡</w:t>
      </w:r>
      <w:r w:rsidRPr="00062420">
        <w:rPr>
          <w:rFonts w:ascii="Arial" w:hAnsi="Arial" w:cs="Arial"/>
          <w:bCs/>
          <w:iCs/>
          <w:sz w:val="24"/>
          <w:szCs w:val="24"/>
          <w:highlight w:val="yellow"/>
        </w:rPr>
        <w:t xml:space="preserve"> è la capacità di erogazione associata al complesso delle capacità di stoccaggio per il servizio di modulazione;</w:t>
      </w:r>
    </w:p>
    <w:p w:rsidR="00A16116" w:rsidRPr="00062420" w:rsidRDefault="00A16116" w:rsidP="00A16116">
      <w:pPr>
        <w:autoSpaceDE w:val="0"/>
        <w:autoSpaceDN w:val="0"/>
        <w:adjustRightInd w:val="0"/>
        <w:ind w:left="540" w:right="585"/>
        <w:jc w:val="both"/>
        <w:rPr>
          <w:rFonts w:ascii="Arial" w:hAnsi="Arial" w:cs="Arial"/>
          <w:bCs/>
          <w:iCs/>
          <w:sz w:val="24"/>
          <w:szCs w:val="24"/>
          <w:highlight w:val="yellow"/>
        </w:rPr>
      </w:pPr>
      <w:r w:rsidRPr="00062420">
        <w:rPr>
          <w:rFonts w:ascii="Cambria Math" w:hAnsi="Cambria Math" w:cs="Cambria Math"/>
          <w:bCs/>
          <w:iCs/>
          <w:sz w:val="24"/>
          <w:szCs w:val="24"/>
          <w:highlight w:val="yellow"/>
        </w:rPr>
        <w:t>𝑃E</w:t>
      </w:r>
      <w:r w:rsidRPr="00062420">
        <w:rPr>
          <w:rFonts w:ascii="Cambria Math" w:hAnsi="Cambria Math" w:cs="Cambria Math"/>
          <w:bCs/>
          <w:iCs/>
          <w:sz w:val="24"/>
          <w:szCs w:val="24"/>
          <w:highlight w:val="yellow"/>
          <w:vertAlign w:val="subscript"/>
        </w:rPr>
        <w:t>𝑚𝑎𝑥</w:t>
      </w:r>
      <w:r w:rsidRPr="00062420">
        <w:rPr>
          <w:rFonts w:ascii="Arial" w:hAnsi="Arial" w:cs="Arial"/>
          <w:bCs/>
          <w:iCs/>
          <w:sz w:val="24"/>
          <w:szCs w:val="24"/>
          <w:highlight w:val="yellow"/>
        </w:rPr>
        <w:t xml:space="preserve"> è la prestazione di erogazione complessiva ad inizio della fase di erogazione.</w:t>
      </w:r>
    </w:p>
    <w:p w:rsidR="00A16116" w:rsidRPr="00FD4086" w:rsidRDefault="00A16116" w:rsidP="00A16116">
      <w:pPr>
        <w:autoSpaceDE w:val="0"/>
        <w:autoSpaceDN w:val="0"/>
        <w:adjustRightInd w:val="0"/>
        <w:ind w:right="585"/>
        <w:jc w:val="both"/>
        <w:rPr>
          <w:rFonts w:ascii="Arial" w:hAnsi="Arial" w:cs="Arial"/>
          <w:bCs/>
          <w:iCs/>
          <w:sz w:val="24"/>
          <w:szCs w:val="24"/>
          <w:highlight w:val="green"/>
        </w:rPr>
      </w:pPr>
    </w:p>
    <w:p w:rsidR="00A16116" w:rsidRDefault="00A16116" w:rsidP="00A16116">
      <w:pPr>
        <w:autoSpaceDE w:val="0"/>
        <w:autoSpaceDN w:val="0"/>
        <w:adjustRightInd w:val="0"/>
        <w:ind w:left="540" w:right="585"/>
        <w:jc w:val="both"/>
        <w:rPr>
          <w:rFonts w:ascii="Arial" w:hAnsi="Arial"/>
          <w:bCs/>
          <w:iCs/>
          <w:sz w:val="24"/>
        </w:rPr>
      </w:pPr>
    </w:p>
    <w:p w:rsidR="00A16116" w:rsidRDefault="00A16116" w:rsidP="00A16116">
      <w:pPr>
        <w:autoSpaceDE w:val="0"/>
        <w:autoSpaceDN w:val="0"/>
        <w:adjustRightInd w:val="0"/>
        <w:ind w:left="540" w:right="585"/>
        <w:jc w:val="both"/>
        <w:rPr>
          <w:rFonts w:ascii="Arial" w:hAnsi="Arial"/>
          <w:bCs/>
          <w:iCs/>
          <w:sz w:val="24"/>
        </w:rPr>
      </w:pPr>
      <w:r>
        <w:rPr>
          <w:rFonts w:ascii="Arial" w:hAnsi="Arial"/>
          <w:bCs/>
          <w:iCs/>
          <w:sz w:val="24"/>
        </w:rPr>
        <w:t>L’Impresa di Stoccaggio riconoscerà gli importi a favore dell’Utente che si dovessero originare dall’applicazione di quanto disposto dai precedenti alinea in conformità a quanto disposto dal par. 16.4.1.</w:t>
      </w:r>
    </w:p>
    <w:p w:rsidR="00A16116" w:rsidRPr="00BC59A7" w:rsidRDefault="00A16116" w:rsidP="00A16116">
      <w:pPr>
        <w:ind w:left="540" w:right="585"/>
      </w:pPr>
    </w:p>
    <w:p w:rsidR="00A16116" w:rsidRDefault="00A16116" w:rsidP="00A16116"/>
    <w:p w:rsidR="00A16116" w:rsidRDefault="00A16116" w:rsidP="00A16116"/>
    <w:p w:rsidR="00413FE1" w:rsidRDefault="00413FE1">
      <w:bookmarkStart w:id="62" w:name="_GoBack"/>
      <w:bookmarkEnd w:id="62"/>
    </w:p>
    <w:sectPr w:rsidR="00413FE1" w:rsidSect="00C573F3">
      <w:headerReference w:type="default" r:id="rId10"/>
      <w:footerReference w:type="even" r:id="rId11"/>
      <w:footerReference w:type="default" r:id="rId12"/>
      <w:headerReference w:type="first" r:id="rId13"/>
      <w:pgSz w:w="12240" w:h="15840"/>
      <w:pgMar w:top="1985" w:right="2317" w:bottom="1418" w:left="1134" w:header="1134" w:footer="1418" w:gutter="0"/>
      <w:pgNumType w:start="14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3F3" w:rsidRDefault="00A1611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573F3" w:rsidRDefault="00A1611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3F3" w:rsidRDefault="00A1611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161</w:t>
    </w:r>
    <w:r>
      <w:rPr>
        <w:rStyle w:val="Numeropagina"/>
      </w:rPr>
      <w:fldChar w:fldCharType="end"/>
    </w:r>
  </w:p>
  <w:p w:rsidR="00C573F3" w:rsidRDefault="00A16116">
    <w:pPr>
      <w:pStyle w:val="Pidipagina"/>
      <w:ind w:right="360"/>
    </w:pPr>
    <w:r>
      <w:rPr>
        <w:noProof/>
      </w:rPr>
      <mc:AlternateContent>
        <mc:Choice Requires="wpg">
          <w:drawing>
            <wp:anchor distT="0" distB="0" distL="114300" distR="114300" simplePos="0" relativeHeight="251661312" behindDoc="0" locked="0" layoutInCell="1" allowOverlap="1" wp14:anchorId="711ADE1B" wp14:editId="2EC7AB1E">
              <wp:simplePos x="0" y="0"/>
              <wp:positionH relativeFrom="column">
                <wp:posOffset>17145</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573F3" w:rsidRPr="00327D0B" w:rsidRDefault="00A16116" w:rsidP="00C573F3">
                            <w:pPr>
                              <w:pStyle w:val="Intestazione2"/>
                              <w:rPr>
                                <w:i w:val="0"/>
                                <w:iCs/>
                                <w:color w:val="339966"/>
                                <w:sz w:val="16"/>
                                <w:szCs w:val="16"/>
                              </w:rPr>
                            </w:pPr>
                            <w:r w:rsidRPr="00327D0B">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margin-left:1.35pt;margin-top:-1pt;width:130.5pt;height:44.8pt;z-index:251661312"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BCQsU3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5"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C573F3" w:rsidRPr="00327D0B" w:rsidRDefault="00A16116" w:rsidP="00C573F3">
                      <w:pPr>
                        <w:pStyle w:val="Intestazione2"/>
                        <w:rPr>
                          <w:i w:val="0"/>
                          <w:iCs/>
                          <w:color w:val="339966"/>
                          <w:sz w:val="16"/>
                          <w:szCs w:val="16"/>
                        </w:rPr>
                      </w:pPr>
                      <w:r w:rsidRPr="00327D0B">
                        <w:rPr>
                          <w:i w:val="0"/>
                          <w:iCs/>
                          <w:color w:val="339966"/>
                          <w:sz w:val="16"/>
                          <w:szCs w:val="16"/>
                        </w:rPr>
                        <w:t>Edison Stoccaggio S.p.A.</w:t>
                      </w:r>
                    </w:p>
                  </w:txbxContent>
                </v:textbox>
              </v:shape>
            </v:group>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3F3" w:rsidRDefault="00A16116">
    <w:pPr>
      <w:pStyle w:val="Intestazione"/>
    </w:pPr>
    <w:r>
      <w:rPr>
        <w:noProof/>
      </w:rPr>
      <mc:AlternateContent>
        <mc:Choice Requires="wps">
          <w:drawing>
            <wp:anchor distT="0" distB="0" distL="114300" distR="114300" simplePos="0" relativeHeight="251660288" behindDoc="0" locked="0" layoutInCell="1" allowOverlap="1" wp14:anchorId="1BB78575" wp14:editId="6A87A6E7">
              <wp:simplePos x="0" y="0"/>
              <wp:positionH relativeFrom="column">
                <wp:posOffset>-95250</wp:posOffset>
              </wp:positionH>
              <wp:positionV relativeFrom="paragraph">
                <wp:posOffset>83185</wp:posOffset>
              </wp:positionV>
              <wp:extent cx="2609850" cy="276225"/>
              <wp:effectExtent l="0" t="0" r="0" b="25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573F3" w:rsidRPr="00043E69" w:rsidRDefault="00A16116">
                          <w:pPr>
                            <w:pStyle w:val="Intestazione2"/>
                          </w:pPr>
                          <w:r>
                            <w:t xml:space="preserve">Codice di Stoccaggio </w:t>
                          </w:r>
                          <w:r w:rsidRPr="003F58C0">
                            <w:rPr>
                              <w:highlight w:val="yellow"/>
                            </w:rPr>
                            <w:t>V1</w:t>
                          </w:r>
                          <w:r>
                            <w:rPr>
                              <w:highlight w:val="yellow"/>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5pt;margin-top:6.55pt;width:205.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Z5w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" filled="f" fillcolor="black" stroked="f">
              <v:textbox>
                <w:txbxContent>
                  <w:p w:rsidR="00C573F3" w:rsidRPr="00043E69" w:rsidRDefault="00A16116">
                    <w:pPr>
                      <w:pStyle w:val="Intestazione2"/>
                    </w:pPr>
                    <w:r>
                      <w:t xml:space="preserve">Codice di Stoccaggio </w:t>
                    </w:r>
                    <w:r w:rsidRPr="003F58C0">
                      <w:rPr>
                        <w:highlight w:val="yellow"/>
                      </w:rPr>
                      <w:t>V1</w:t>
                    </w:r>
                    <w:r>
                      <w:rPr>
                        <w:highlight w:val="yellow"/>
                      </w:rPr>
                      <w:t>4</w:t>
                    </w:r>
                  </w:p>
                </w:txbxContent>
              </v:textbox>
            </v:shape>
          </w:pict>
        </mc:Fallback>
      </mc:AlternateContent>
    </w:r>
    <w:r>
      <w:t>Sezione Effettuazione del Servizio</w:t>
    </w:r>
  </w:p>
  <w:p w:rsidR="00C573F3" w:rsidRDefault="00A16116">
    <w:pPr>
      <w:pStyle w:val="Intestazione"/>
    </w:pPr>
    <w:r>
      <w:t>Capitolo 8 – Bilanciamento e reintegrazione degli stoccaggi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3F3" w:rsidRDefault="00A16116">
    <w:pPr>
      <w:pStyle w:val="Intestazione"/>
    </w:pPr>
    <w:r>
      <w:rPr>
        <w:noProof/>
      </w:rPr>
      <mc:AlternateContent>
        <mc:Choice Requires="wps">
          <w:drawing>
            <wp:anchor distT="0" distB="0" distL="114300" distR="114300" simplePos="0" relativeHeight="251659264" behindDoc="0" locked="0" layoutInCell="1" allowOverlap="1" wp14:anchorId="3CFC7ABC" wp14:editId="3CFD5A29">
              <wp:simplePos x="0" y="0"/>
              <wp:positionH relativeFrom="column">
                <wp:posOffset>-95250</wp:posOffset>
              </wp:positionH>
              <wp:positionV relativeFrom="paragraph">
                <wp:posOffset>83185</wp:posOffset>
              </wp:positionV>
              <wp:extent cx="2609850" cy="276225"/>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573F3" w:rsidRDefault="00A16116">
                          <w:pPr>
                            <w:pStyle w:val="Intestazione2"/>
                          </w:pPr>
                          <w: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7.5pt;margin-top:6.55pt;width:205.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" filled="f" fillcolor="black" stroked="f">
              <v:textbox>
                <w:txbxContent>
                  <w:p w:rsidR="00C573F3" w:rsidRDefault="00A16116">
                    <w:pPr>
                      <w:pStyle w:val="Intestazione2"/>
                    </w:pPr>
                    <w:r>
                      <w:t xml:space="preserve">Proposta di Codice di Stoccaggio V1 </w:t>
                    </w:r>
                  </w:p>
                </w:txbxContent>
              </v:textbox>
            </v:shape>
          </w:pict>
        </mc:Fallback>
      </mc:AlternateContent>
    </w:r>
    <w:r>
      <w:t xml:space="preserve">Sezione Effettuazione del Servizio </w:t>
    </w:r>
  </w:p>
  <w:p w:rsidR="00C573F3" w:rsidRDefault="00A16116">
    <w:pPr>
      <w:pStyle w:val="Intestazione"/>
      <w:rPr>
        <w:rFonts w:cs="Arial"/>
        <w:b w:val="0"/>
        <w:i/>
      </w:rPr>
    </w:pPr>
    <w:r>
      <w:t>Cap 8 – Bilanciamento</w:t>
    </w:r>
    <w:r>
      <w:rPr>
        <w:rFonts w:cs="Arial"/>
        <w:b w:val="0"/>
        <w:i/>
        <w:vanish/>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6368"/>
    <w:multiLevelType w:val="hybridMultilevel"/>
    <w:tmpl w:val="0DA4953A"/>
    <w:lvl w:ilvl="0" w:tplc="7D4AECDA">
      <w:start w:val="1"/>
      <w:numFmt w:val="lowerRoman"/>
      <w:lvlText w:val="%1."/>
      <w:lvlJc w:val="right"/>
      <w:pPr>
        <w:tabs>
          <w:tab w:val="num" w:pos="1620"/>
        </w:tabs>
        <w:ind w:left="1620" w:hanging="180"/>
      </w:pPr>
      <w:rPr>
        <w:color w:val="auto"/>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1E41520F"/>
    <w:multiLevelType w:val="hybridMultilevel"/>
    <w:tmpl w:val="7C42875A"/>
    <w:lvl w:ilvl="0" w:tplc="0EC8953A">
      <w:start w:val="1"/>
      <w:numFmt w:val="lowerLetter"/>
      <w:lvlText w:val="%1."/>
      <w:lvlJc w:val="left"/>
      <w:pPr>
        <w:tabs>
          <w:tab w:val="num" w:pos="2651"/>
        </w:tabs>
        <w:ind w:left="2651"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F23328C"/>
    <w:multiLevelType w:val="hybridMultilevel"/>
    <w:tmpl w:val="EA205F84"/>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4">
    <w:nsid w:val="202A2F7D"/>
    <w:multiLevelType w:val="hybridMultilevel"/>
    <w:tmpl w:val="FE8AA236"/>
    <w:lvl w:ilvl="0" w:tplc="0410000F">
      <w:start w:val="1"/>
      <w:numFmt w:val="decimal"/>
      <w:lvlText w:val="%1."/>
      <w:lvlJc w:val="left"/>
      <w:pPr>
        <w:tabs>
          <w:tab w:val="num" w:pos="1174"/>
        </w:tabs>
        <w:ind w:left="1174" w:hanging="360"/>
      </w:pPr>
    </w:lvl>
    <w:lvl w:ilvl="1" w:tplc="04100019">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5">
    <w:nsid w:val="37865238"/>
    <w:multiLevelType w:val="hybridMultilevel"/>
    <w:tmpl w:val="68CCB7AC"/>
    <w:lvl w:ilvl="0" w:tplc="C270B460">
      <w:start w:val="1"/>
      <w:numFmt w:val="decimal"/>
      <w:lvlText w:val="%1)"/>
      <w:lvlJc w:val="left"/>
      <w:pPr>
        <w:tabs>
          <w:tab w:val="num" w:pos="814"/>
        </w:tabs>
        <w:ind w:left="794" w:hanging="340"/>
      </w:pPr>
      <w:rPr>
        <w:rFonts w:ascii="Arial" w:eastAsia="Times New Roman" w:hAnsi="Arial" w:cs="Symbol" w:hint="default"/>
      </w:rPr>
    </w:lvl>
    <w:lvl w:ilvl="1" w:tplc="C08C44E6">
      <w:start w:val="1"/>
      <w:numFmt w:val="lowerLetter"/>
      <w:lvlText w:val="%2."/>
      <w:lvlJc w:val="left"/>
      <w:pPr>
        <w:tabs>
          <w:tab w:val="num" w:pos="1894"/>
        </w:tabs>
        <w:ind w:left="1894" w:hanging="360"/>
      </w:pPr>
      <w:rPr>
        <w:color w:val="auto"/>
      </w:r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6">
    <w:nsid w:val="38387E4E"/>
    <w:multiLevelType w:val="hybridMultilevel"/>
    <w:tmpl w:val="AD4AA14C"/>
    <w:lvl w:ilvl="0" w:tplc="0E02E81E">
      <w:start w:val="1"/>
      <w:numFmt w:val="decimal"/>
      <w:pStyle w:val="Rientrocorpodeltesto2"/>
      <w:lvlText w:val="%1."/>
      <w:lvlJc w:val="left"/>
      <w:pPr>
        <w:tabs>
          <w:tab w:val="num" w:pos="851"/>
        </w:tabs>
        <w:ind w:left="851" w:hanging="397"/>
      </w:pPr>
      <w:rPr>
        <w:rFont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7">
    <w:nsid w:val="3F167DE5"/>
    <w:multiLevelType w:val="singleLevel"/>
    <w:tmpl w:val="0410000B"/>
    <w:lvl w:ilvl="0">
      <w:start w:val="1"/>
      <w:numFmt w:val="bullet"/>
      <w:pStyle w:val="E1"/>
      <w:lvlText w:val=""/>
      <w:lvlJc w:val="left"/>
      <w:pPr>
        <w:tabs>
          <w:tab w:val="num" w:pos="360"/>
        </w:tabs>
        <w:ind w:left="360" w:hanging="360"/>
      </w:pPr>
      <w:rPr>
        <w:rFonts w:ascii="Wingdings" w:hAnsi="Wingdings" w:hint="default"/>
      </w:rPr>
    </w:lvl>
  </w:abstractNum>
  <w:abstractNum w:abstractNumId="8">
    <w:nsid w:val="48885808"/>
    <w:multiLevelType w:val="hybridMultilevel"/>
    <w:tmpl w:val="CF081B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B541C0F"/>
    <w:multiLevelType w:val="multilevel"/>
    <w:tmpl w:val="77CEAF28"/>
    <w:lvl w:ilvl="0">
      <w:start w:val="8"/>
      <w:numFmt w:val="decimal"/>
      <w:lvlText w:val="%1."/>
      <w:lvlJc w:val="left"/>
      <w:pPr>
        <w:tabs>
          <w:tab w:val="num" w:pos="814"/>
        </w:tabs>
        <w:ind w:left="567" w:hanging="113"/>
      </w:pPr>
      <w:rPr>
        <w:rFonts w:hint="default"/>
      </w:rPr>
    </w:lvl>
    <w:lvl w:ilvl="1">
      <w:start w:val="1"/>
      <w:numFmt w:val="decimal"/>
      <w:pStyle w:val="Titolo2"/>
      <w:suff w:val="space"/>
      <w:lvlText w:val="%1.%2"/>
      <w:lvlJc w:val="left"/>
      <w:pPr>
        <w:ind w:left="454" w:firstLine="0"/>
      </w:pPr>
      <w:rPr>
        <w:rFonts w:hint="default"/>
        <w:i w:val="0"/>
      </w:rPr>
    </w:lvl>
    <w:lvl w:ilvl="2">
      <w:start w:val="1"/>
      <w:numFmt w:val="decimal"/>
      <w:pStyle w:val="Titolo3"/>
      <w:suff w:val="space"/>
      <w:lvlText w:val="%1.%2.%3"/>
      <w:lvlJc w:val="left"/>
      <w:pPr>
        <w:ind w:left="1620" w:firstLine="0"/>
      </w:pPr>
      <w:rPr>
        <w:rFonts w:hint="default"/>
      </w:rPr>
    </w:lvl>
    <w:lvl w:ilvl="3">
      <w:start w:val="1"/>
      <w:numFmt w:val="decimal"/>
      <w:pStyle w:val="Titolo4"/>
      <w:suff w:val="space"/>
      <w:lvlText w:val="%1.%2.%3.%4."/>
      <w:lvlJc w:val="left"/>
      <w:pPr>
        <w:ind w:left="454"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10">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271951"/>
    <w:multiLevelType w:val="hybridMultilevel"/>
    <w:tmpl w:val="6C58CCEA"/>
    <w:lvl w:ilvl="0" w:tplc="FD82F2AA">
      <w:start w:val="1"/>
      <w:numFmt w:val="lowerLetter"/>
      <w:pStyle w:val="Stile1"/>
      <w:lvlText w:val="%1)"/>
      <w:lvlJc w:val="left"/>
      <w:pPr>
        <w:tabs>
          <w:tab w:val="num" w:pos="720"/>
        </w:tabs>
        <w:ind w:left="720" w:hanging="360"/>
      </w:pPr>
      <w:rPr>
        <w:rFonts w:ascii="Arial" w:hAnsi="Arial" w:hint="default"/>
        <w:b w:val="0"/>
        <w:i w:val="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3127722"/>
    <w:multiLevelType w:val="hybridMultilevel"/>
    <w:tmpl w:val="6D3C20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7AA3E2F"/>
    <w:multiLevelType w:val="hybridMultilevel"/>
    <w:tmpl w:val="AB567084"/>
    <w:lvl w:ilvl="0" w:tplc="FBAC7A24">
      <w:start w:val="1"/>
      <w:numFmt w:val="lowerLetter"/>
      <w:pStyle w:val="Rientrocorpodeltesto"/>
      <w:lvlText w:val="%1)"/>
      <w:lvlJc w:val="left"/>
      <w:pPr>
        <w:tabs>
          <w:tab w:val="num" w:pos="1134"/>
        </w:tabs>
        <w:ind w:left="1134" w:hanging="425"/>
      </w:pPr>
      <w:rPr>
        <w:rFonts w:hint="default"/>
        <w:strike w:val="0"/>
        <w:color w:val="auto"/>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1620"/>
        </w:tabs>
        <w:ind w:left="1620" w:hanging="180"/>
      </w:pPr>
    </w:lvl>
    <w:lvl w:ilvl="3" w:tplc="04100001">
      <w:start w:val="1"/>
      <w:numFmt w:val="bullet"/>
      <w:lvlText w:val=""/>
      <w:lvlJc w:val="left"/>
      <w:pPr>
        <w:tabs>
          <w:tab w:val="num" w:pos="2880"/>
        </w:tabs>
        <w:ind w:left="2880" w:hanging="360"/>
      </w:pPr>
      <w:rPr>
        <w:rFonts w:ascii="Symbol" w:hAnsi="Symbol" w:hint="default"/>
        <w:strike w:val="0"/>
        <w:color w:val="auto"/>
      </w:rPr>
    </w:lvl>
    <w:lvl w:ilvl="4" w:tplc="04100019">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69662BDA"/>
    <w:multiLevelType w:val="multilevel"/>
    <w:tmpl w:val="3EF008F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AA51CCB"/>
    <w:multiLevelType w:val="hybridMultilevel"/>
    <w:tmpl w:val="78A831E0"/>
    <w:lvl w:ilvl="0" w:tplc="0EC8953A">
      <w:start w:val="1"/>
      <w:numFmt w:val="lowerLetter"/>
      <w:lvlText w:val="%1."/>
      <w:lvlJc w:val="left"/>
      <w:pPr>
        <w:tabs>
          <w:tab w:val="num" w:pos="2651"/>
        </w:tabs>
        <w:ind w:left="2651"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750E5D61"/>
    <w:multiLevelType w:val="hybridMultilevel"/>
    <w:tmpl w:val="D640FD70"/>
    <w:lvl w:ilvl="0" w:tplc="29CCFBE4">
      <w:start w:val="1"/>
      <w:numFmt w:val="lowerLetter"/>
      <w:lvlText w:val="%1)"/>
      <w:lvlJc w:val="left"/>
      <w:pPr>
        <w:tabs>
          <w:tab w:val="num" w:pos="1776"/>
        </w:tabs>
        <w:ind w:left="1776" w:hanging="360"/>
      </w:pPr>
      <w:rPr>
        <w:rFonts w:hint="default"/>
      </w:rPr>
    </w:lvl>
    <w:lvl w:ilvl="1" w:tplc="04100019" w:tentative="1">
      <w:start w:val="1"/>
      <w:numFmt w:val="lowerLetter"/>
      <w:lvlText w:val="%2."/>
      <w:lvlJc w:val="left"/>
      <w:pPr>
        <w:tabs>
          <w:tab w:val="num" w:pos="1751"/>
        </w:tabs>
        <w:ind w:left="1751" w:hanging="360"/>
      </w:pPr>
    </w:lvl>
    <w:lvl w:ilvl="2" w:tplc="3C001894">
      <w:start w:val="1"/>
      <w:numFmt w:val="lowerLetter"/>
      <w:lvlText w:val="%3."/>
      <w:lvlJc w:val="left"/>
      <w:pPr>
        <w:tabs>
          <w:tab w:val="num" w:pos="2651"/>
        </w:tabs>
        <w:ind w:left="2651" w:hanging="360"/>
      </w:pPr>
      <w:rPr>
        <w:rFonts w:hint="default"/>
      </w:rPr>
    </w:lvl>
    <w:lvl w:ilvl="3" w:tplc="0410000F" w:tentative="1">
      <w:start w:val="1"/>
      <w:numFmt w:val="decimal"/>
      <w:lvlText w:val="%4."/>
      <w:lvlJc w:val="left"/>
      <w:pPr>
        <w:tabs>
          <w:tab w:val="num" w:pos="3191"/>
        </w:tabs>
        <w:ind w:left="3191" w:hanging="360"/>
      </w:pPr>
    </w:lvl>
    <w:lvl w:ilvl="4" w:tplc="04100019" w:tentative="1">
      <w:start w:val="1"/>
      <w:numFmt w:val="lowerLetter"/>
      <w:lvlText w:val="%5."/>
      <w:lvlJc w:val="left"/>
      <w:pPr>
        <w:tabs>
          <w:tab w:val="num" w:pos="3911"/>
        </w:tabs>
        <w:ind w:left="3911" w:hanging="360"/>
      </w:pPr>
    </w:lvl>
    <w:lvl w:ilvl="5" w:tplc="0410001B" w:tentative="1">
      <w:start w:val="1"/>
      <w:numFmt w:val="lowerRoman"/>
      <w:lvlText w:val="%6."/>
      <w:lvlJc w:val="right"/>
      <w:pPr>
        <w:tabs>
          <w:tab w:val="num" w:pos="4631"/>
        </w:tabs>
        <w:ind w:left="4631" w:hanging="180"/>
      </w:pPr>
    </w:lvl>
    <w:lvl w:ilvl="6" w:tplc="0410000F" w:tentative="1">
      <w:start w:val="1"/>
      <w:numFmt w:val="decimal"/>
      <w:lvlText w:val="%7."/>
      <w:lvlJc w:val="left"/>
      <w:pPr>
        <w:tabs>
          <w:tab w:val="num" w:pos="5351"/>
        </w:tabs>
        <w:ind w:left="5351" w:hanging="360"/>
      </w:pPr>
    </w:lvl>
    <w:lvl w:ilvl="7" w:tplc="04100019" w:tentative="1">
      <w:start w:val="1"/>
      <w:numFmt w:val="lowerLetter"/>
      <w:lvlText w:val="%8."/>
      <w:lvlJc w:val="left"/>
      <w:pPr>
        <w:tabs>
          <w:tab w:val="num" w:pos="6071"/>
        </w:tabs>
        <w:ind w:left="6071" w:hanging="360"/>
      </w:pPr>
    </w:lvl>
    <w:lvl w:ilvl="8" w:tplc="0410001B" w:tentative="1">
      <w:start w:val="1"/>
      <w:numFmt w:val="lowerRoman"/>
      <w:lvlText w:val="%9."/>
      <w:lvlJc w:val="right"/>
      <w:pPr>
        <w:tabs>
          <w:tab w:val="num" w:pos="6791"/>
        </w:tabs>
        <w:ind w:left="6791" w:hanging="180"/>
      </w:pPr>
    </w:lvl>
  </w:abstractNum>
  <w:abstractNum w:abstractNumId="18">
    <w:nsid w:val="77DC7898"/>
    <w:multiLevelType w:val="hybridMultilevel"/>
    <w:tmpl w:val="69960718"/>
    <w:lvl w:ilvl="0" w:tplc="04100001">
      <w:start w:val="1"/>
      <w:numFmt w:val="bullet"/>
      <w:lvlText w:val=""/>
      <w:lvlJc w:val="left"/>
      <w:pPr>
        <w:tabs>
          <w:tab w:val="num" w:pos="1230"/>
        </w:tabs>
        <w:ind w:left="1230" w:hanging="360"/>
      </w:pPr>
      <w:rPr>
        <w:rFonts w:ascii="Symbol" w:hAnsi="Symbol" w:hint="default"/>
      </w:rPr>
    </w:lvl>
    <w:lvl w:ilvl="1" w:tplc="04100003" w:tentative="1">
      <w:start w:val="1"/>
      <w:numFmt w:val="bullet"/>
      <w:lvlText w:val="o"/>
      <w:lvlJc w:val="left"/>
      <w:pPr>
        <w:tabs>
          <w:tab w:val="num" w:pos="1950"/>
        </w:tabs>
        <w:ind w:left="1950" w:hanging="360"/>
      </w:pPr>
      <w:rPr>
        <w:rFonts w:ascii="Courier New" w:hAnsi="Courier New" w:cs="Courier New" w:hint="default"/>
      </w:rPr>
    </w:lvl>
    <w:lvl w:ilvl="2" w:tplc="04100005" w:tentative="1">
      <w:start w:val="1"/>
      <w:numFmt w:val="bullet"/>
      <w:lvlText w:val=""/>
      <w:lvlJc w:val="left"/>
      <w:pPr>
        <w:tabs>
          <w:tab w:val="num" w:pos="2670"/>
        </w:tabs>
        <w:ind w:left="2670" w:hanging="360"/>
      </w:pPr>
      <w:rPr>
        <w:rFonts w:ascii="Wingdings" w:hAnsi="Wingdings" w:hint="default"/>
      </w:rPr>
    </w:lvl>
    <w:lvl w:ilvl="3" w:tplc="04100001" w:tentative="1">
      <w:start w:val="1"/>
      <w:numFmt w:val="bullet"/>
      <w:lvlText w:val=""/>
      <w:lvlJc w:val="left"/>
      <w:pPr>
        <w:tabs>
          <w:tab w:val="num" w:pos="3390"/>
        </w:tabs>
        <w:ind w:left="3390" w:hanging="360"/>
      </w:pPr>
      <w:rPr>
        <w:rFonts w:ascii="Symbol" w:hAnsi="Symbol" w:hint="default"/>
      </w:rPr>
    </w:lvl>
    <w:lvl w:ilvl="4" w:tplc="04100003" w:tentative="1">
      <w:start w:val="1"/>
      <w:numFmt w:val="bullet"/>
      <w:lvlText w:val="o"/>
      <w:lvlJc w:val="left"/>
      <w:pPr>
        <w:tabs>
          <w:tab w:val="num" w:pos="4110"/>
        </w:tabs>
        <w:ind w:left="4110" w:hanging="360"/>
      </w:pPr>
      <w:rPr>
        <w:rFonts w:ascii="Courier New" w:hAnsi="Courier New" w:cs="Courier New" w:hint="default"/>
      </w:rPr>
    </w:lvl>
    <w:lvl w:ilvl="5" w:tplc="04100005" w:tentative="1">
      <w:start w:val="1"/>
      <w:numFmt w:val="bullet"/>
      <w:lvlText w:val=""/>
      <w:lvlJc w:val="left"/>
      <w:pPr>
        <w:tabs>
          <w:tab w:val="num" w:pos="4830"/>
        </w:tabs>
        <w:ind w:left="4830" w:hanging="360"/>
      </w:pPr>
      <w:rPr>
        <w:rFonts w:ascii="Wingdings" w:hAnsi="Wingdings" w:hint="default"/>
      </w:rPr>
    </w:lvl>
    <w:lvl w:ilvl="6" w:tplc="04100001" w:tentative="1">
      <w:start w:val="1"/>
      <w:numFmt w:val="bullet"/>
      <w:lvlText w:val=""/>
      <w:lvlJc w:val="left"/>
      <w:pPr>
        <w:tabs>
          <w:tab w:val="num" w:pos="5550"/>
        </w:tabs>
        <w:ind w:left="5550" w:hanging="360"/>
      </w:pPr>
      <w:rPr>
        <w:rFonts w:ascii="Symbol" w:hAnsi="Symbol" w:hint="default"/>
      </w:rPr>
    </w:lvl>
    <w:lvl w:ilvl="7" w:tplc="04100003" w:tentative="1">
      <w:start w:val="1"/>
      <w:numFmt w:val="bullet"/>
      <w:lvlText w:val="o"/>
      <w:lvlJc w:val="left"/>
      <w:pPr>
        <w:tabs>
          <w:tab w:val="num" w:pos="6270"/>
        </w:tabs>
        <w:ind w:left="6270" w:hanging="360"/>
      </w:pPr>
      <w:rPr>
        <w:rFonts w:ascii="Courier New" w:hAnsi="Courier New" w:cs="Courier New" w:hint="default"/>
      </w:rPr>
    </w:lvl>
    <w:lvl w:ilvl="8" w:tplc="04100005" w:tentative="1">
      <w:start w:val="1"/>
      <w:numFmt w:val="bullet"/>
      <w:lvlText w:val=""/>
      <w:lvlJc w:val="left"/>
      <w:pPr>
        <w:tabs>
          <w:tab w:val="num" w:pos="6990"/>
        </w:tabs>
        <w:ind w:left="6990" w:hanging="360"/>
      </w:pPr>
      <w:rPr>
        <w:rFonts w:ascii="Wingdings" w:hAnsi="Wingdings" w:hint="default"/>
      </w:rPr>
    </w:lvl>
  </w:abstractNum>
  <w:abstractNum w:abstractNumId="19">
    <w:nsid w:val="7A8D41CD"/>
    <w:multiLevelType w:val="hybridMultilevel"/>
    <w:tmpl w:val="4BF8E0AE"/>
    <w:lvl w:ilvl="0" w:tplc="04100001">
      <w:start w:val="1"/>
      <w:numFmt w:val="bullet"/>
      <w:lvlText w:val=""/>
      <w:lvlJc w:val="left"/>
      <w:pPr>
        <w:tabs>
          <w:tab w:val="num" w:pos="1230"/>
        </w:tabs>
        <w:ind w:left="1230" w:hanging="360"/>
      </w:pPr>
      <w:rPr>
        <w:rFonts w:ascii="Symbol" w:hAnsi="Symbol" w:hint="default"/>
      </w:rPr>
    </w:lvl>
    <w:lvl w:ilvl="1" w:tplc="04100003" w:tentative="1">
      <w:start w:val="1"/>
      <w:numFmt w:val="bullet"/>
      <w:lvlText w:val="o"/>
      <w:lvlJc w:val="left"/>
      <w:pPr>
        <w:tabs>
          <w:tab w:val="num" w:pos="1950"/>
        </w:tabs>
        <w:ind w:left="1950" w:hanging="360"/>
      </w:pPr>
      <w:rPr>
        <w:rFonts w:ascii="Courier New" w:hAnsi="Courier New" w:cs="Courier New" w:hint="default"/>
      </w:rPr>
    </w:lvl>
    <w:lvl w:ilvl="2" w:tplc="04100005" w:tentative="1">
      <w:start w:val="1"/>
      <w:numFmt w:val="bullet"/>
      <w:lvlText w:val=""/>
      <w:lvlJc w:val="left"/>
      <w:pPr>
        <w:tabs>
          <w:tab w:val="num" w:pos="2670"/>
        </w:tabs>
        <w:ind w:left="2670" w:hanging="360"/>
      </w:pPr>
      <w:rPr>
        <w:rFonts w:ascii="Wingdings" w:hAnsi="Wingdings" w:hint="default"/>
      </w:rPr>
    </w:lvl>
    <w:lvl w:ilvl="3" w:tplc="04100001" w:tentative="1">
      <w:start w:val="1"/>
      <w:numFmt w:val="bullet"/>
      <w:lvlText w:val=""/>
      <w:lvlJc w:val="left"/>
      <w:pPr>
        <w:tabs>
          <w:tab w:val="num" w:pos="3390"/>
        </w:tabs>
        <w:ind w:left="3390" w:hanging="360"/>
      </w:pPr>
      <w:rPr>
        <w:rFonts w:ascii="Symbol" w:hAnsi="Symbol" w:hint="default"/>
      </w:rPr>
    </w:lvl>
    <w:lvl w:ilvl="4" w:tplc="04100003" w:tentative="1">
      <w:start w:val="1"/>
      <w:numFmt w:val="bullet"/>
      <w:lvlText w:val="o"/>
      <w:lvlJc w:val="left"/>
      <w:pPr>
        <w:tabs>
          <w:tab w:val="num" w:pos="4110"/>
        </w:tabs>
        <w:ind w:left="4110" w:hanging="360"/>
      </w:pPr>
      <w:rPr>
        <w:rFonts w:ascii="Courier New" w:hAnsi="Courier New" w:cs="Courier New" w:hint="default"/>
      </w:rPr>
    </w:lvl>
    <w:lvl w:ilvl="5" w:tplc="04100005" w:tentative="1">
      <w:start w:val="1"/>
      <w:numFmt w:val="bullet"/>
      <w:lvlText w:val=""/>
      <w:lvlJc w:val="left"/>
      <w:pPr>
        <w:tabs>
          <w:tab w:val="num" w:pos="4830"/>
        </w:tabs>
        <w:ind w:left="4830" w:hanging="360"/>
      </w:pPr>
      <w:rPr>
        <w:rFonts w:ascii="Wingdings" w:hAnsi="Wingdings" w:hint="default"/>
      </w:rPr>
    </w:lvl>
    <w:lvl w:ilvl="6" w:tplc="04100001" w:tentative="1">
      <w:start w:val="1"/>
      <w:numFmt w:val="bullet"/>
      <w:lvlText w:val=""/>
      <w:lvlJc w:val="left"/>
      <w:pPr>
        <w:tabs>
          <w:tab w:val="num" w:pos="5550"/>
        </w:tabs>
        <w:ind w:left="5550" w:hanging="360"/>
      </w:pPr>
      <w:rPr>
        <w:rFonts w:ascii="Symbol" w:hAnsi="Symbol" w:hint="default"/>
      </w:rPr>
    </w:lvl>
    <w:lvl w:ilvl="7" w:tplc="04100003" w:tentative="1">
      <w:start w:val="1"/>
      <w:numFmt w:val="bullet"/>
      <w:lvlText w:val="o"/>
      <w:lvlJc w:val="left"/>
      <w:pPr>
        <w:tabs>
          <w:tab w:val="num" w:pos="6270"/>
        </w:tabs>
        <w:ind w:left="6270" w:hanging="360"/>
      </w:pPr>
      <w:rPr>
        <w:rFonts w:ascii="Courier New" w:hAnsi="Courier New" w:cs="Courier New" w:hint="default"/>
      </w:rPr>
    </w:lvl>
    <w:lvl w:ilvl="8" w:tplc="04100005" w:tentative="1">
      <w:start w:val="1"/>
      <w:numFmt w:val="bullet"/>
      <w:lvlText w:val=""/>
      <w:lvlJc w:val="left"/>
      <w:pPr>
        <w:tabs>
          <w:tab w:val="num" w:pos="6990"/>
        </w:tabs>
        <w:ind w:left="6990" w:hanging="360"/>
      </w:pPr>
      <w:rPr>
        <w:rFonts w:ascii="Wingdings" w:hAnsi="Wingdings" w:hint="default"/>
      </w:rPr>
    </w:lvl>
  </w:abstractNum>
  <w:abstractNum w:abstractNumId="20">
    <w:nsid w:val="7AFD1B4C"/>
    <w:multiLevelType w:val="hybridMultilevel"/>
    <w:tmpl w:val="B6C89DF6"/>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1">
    <w:nsid w:val="7CDB36AB"/>
    <w:multiLevelType w:val="hybridMultilevel"/>
    <w:tmpl w:val="A0E6009A"/>
    <w:lvl w:ilvl="0" w:tplc="D0E2FD24">
      <w:start w:val="1"/>
      <w:numFmt w:val="bullet"/>
      <w:pStyle w:val="primolivellobullet"/>
      <w:lvlText w:val=""/>
      <w:lvlJc w:val="left"/>
      <w:pPr>
        <w:tabs>
          <w:tab w:val="num" w:pos="851"/>
        </w:tabs>
        <w:ind w:left="851" w:hanging="397"/>
      </w:pPr>
      <w:rPr>
        <w:rFonts w:ascii="Symbol" w:hAnsi="Symbol" w:hint="default"/>
        <w:sz w:val="16"/>
      </w:rPr>
    </w:lvl>
    <w:lvl w:ilvl="1" w:tplc="04100001">
      <w:start w:val="1"/>
      <w:numFmt w:val="bullet"/>
      <w:lvlText w:val=""/>
      <w:lvlJc w:val="left"/>
      <w:pPr>
        <w:tabs>
          <w:tab w:val="num" w:pos="1440"/>
        </w:tabs>
        <w:ind w:left="1440" w:hanging="360"/>
      </w:pPr>
      <w:rPr>
        <w:rFonts w:ascii="Symbol" w:hAnsi="Symbol" w:hint="default"/>
        <w:sz w:val="16"/>
      </w:rPr>
    </w:lvl>
    <w:lvl w:ilvl="2" w:tplc="EAC65766">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
  </w:num>
  <w:num w:numId="4">
    <w:abstractNumId w:val="12"/>
  </w:num>
  <w:num w:numId="5">
    <w:abstractNumId w:val="6"/>
  </w:num>
  <w:num w:numId="6">
    <w:abstractNumId w:val="9"/>
  </w:num>
  <w:num w:numId="7">
    <w:abstractNumId w:val="14"/>
  </w:num>
  <w:num w:numId="8">
    <w:abstractNumId w:val="14"/>
    <w:lvlOverride w:ilvl="0">
      <w:startOverride w:val="1"/>
    </w:lvlOverride>
  </w:num>
  <w:num w:numId="9">
    <w:abstractNumId w:val="7"/>
  </w:num>
  <w:num w:numId="10">
    <w:abstractNumId w:val="21"/>
  </w:num>
  <w:num w:numId="11">
    <w:abstractNumId w:val="17"/>
  </w:num>
  <w:num w:numId="12">
    <w:abstractNumId w:val="16"/>
  </w:num>
  <w:num w:numId="13">
    <w:abstractNumId w:val="2"/>
  </w:num>
  <w:num w:numId="14">
    <w:abstractNumId w:val="4"/>
  </w:num>
  <w:num w:numId="15">
    <w:abstractNumId w:val="5"/>
  </w:num>
  <w:num w:numId="16">
    <w:abstractNumId w:val="0"/>
  </w:num>
  <w:num w:numId="17">
    <w:abstractNumId w:val="15"/>
  </w:num>
  <w:num w:numId="18">
    <w:abstractNumId w:val="19"/>
  </w:num>
  <w:num w:numId="19">
    <w:abstractNumId w:val="18"/>
  </w:num>
  <w:num w:numId="20">
    <w:abstractNumId w:val="3"/>
  </w:num>
  <w:num w:numId="21">
    <w:abstractNumId w:val="20"/>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116"/>
    <w:rsid w:val="00413FE1"/>
    <w:rsid w:val="00A161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16116"/>
  </w:style>
  <w:style w:type="paragraph" w:styleId="Titolo1">
    <w:name w:val="heading 1"/>
    <w:aliases w:val="Titolo capitolo"/>
    <w:basedOn w:val="Titolo2"/>
    <w:next w:val="Normale"/>
    <w:link w:val="Titolo1Carattere"/>
    <w:autoRedefine/>
    <w:qFormat/>
    <w:rsid w:val="00A16116"/>
    <w:pPr>
      <w:numPr>
        <w:ilvl w:val="0"/>
        <w:numId w:val="0"/>
      </w:numPr>
      <w:ind w:right="45"/>
      <w:outlineLvl w:val="0"/>
    </w:pPr>
    <w:rPr>
      <w:caps w:val="0"/>
    </w:rPr>
  </w:style>
  <w:style w:type="paragraph" w:styleId="Titolo2">
    <w:name w:val="heading 2"/>
    <w:aliases w:val="Articolo"/>
    <w:next w:val="Normale"/>
    <w:link w:val="Titolo2Carattere"/>
    <w:qFormat/>
    <w:rsid w:val="00A16116"/>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link w:val="Titolo3Carattere"/>
    <w:qFormat/>
    <w:rsid w:val="00A16116"/>
    <w:pPr>
      <w:keepNext/>
      <w:numPr>
        <w:ilvl w:val="2"/>
        <w:numId w:val="6"/>
      </w:numPr>
      <w:spacing w:before="360" w:after="240"/>
      <w:ind w:right="612"/>
      <w:jc w:val="both"/>
      <w:outlineLvl w:val="2"/>
    </w:pPr>
    <w:rPr>
      <w:rFonts w:ascii="Arial" w:hAnsi="Arial"/>
      <w:b/>
      <w:i/>
      <w:sz w:val="24"/>
    </w:rPr>
  </w:style>
  <w:style w:type="paragraph" w:styleId="Titolo4">
    <w:name w:val="heading 4"/>
    <w:next w:val="Normale"/>
    <w:link w:val="Titolo4Carattere"/>
    <w:qFormat/>
    <w:rsid w:val="00A16116"/>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link w:val="Titolo5Carattere"/>
    <w:autoRedefine/>
    <w:qFormat/>
    <w:rsid w:val="00A16116"/>
    <w:pPr>
      <w:numPr>
        <w:ilvl w:val="4"/>
      </w:numPr>
      <w:outlineLvl w:val="4"/>
    </w:pPr>
    <w:rPr>
      <w:i w:val="0"/>
      <w:sz w:val="22"/>
    </w:rPr>
  </w:style>
  <w:style w:type="paragraph" w:styleId="Titolo6">
    <w:name w:val="heading 6"/>
    <w:basedOn w:val="Normale"/>
    <w:next w:val="Normale"/>
    <w:link w:val="Titolo6Carattere"/>
    <w:qFormat/>
    <w:rsid w:val="00A16116"/>
    <w:pPr>
      <w:keepNext/>
      <w:jc w:val="center"/>
      <w:outlineLvl w:val="5"/>
    </w:pPr>
    <w:rPr>
      <w:rFonts w:ascii="Garamond" w:hAnsi="Garamond"/>
      <w:sz w:val="24"/>
    </w:rPr>
  </w:style>
  <w:style w:type="paragraph" w:styleId="Titolo7">
    <w:name w:val="heading 7"/>
    <w:basedOn w:val="Normale"/>
    <w:next w:val="Normale"/>
    <w:link w:val="Titolo7Carattere"/>
    <w:qFormat/>
    <w:rsid w:val="00A16116"/>
    <w:pPr>
      <w:keepNext/>
      <w:jc w:val="center"/>
      <w:outlineLvl w:val="6"/>
    </w:pPr>
    <w:rPr>
      <w:rFonts w:ascii="Georgia" w:hAnsi="Georgia"/>
      <w:b/>
      <w:snapToGrid w:val="0"/>
      <w:color w:val="000000"/>
      <w:sz w:val="24"/>
    </w:rPr>
  </w:style>
  <w:style w:type="paragraph" w:styleId="Titolo8">
    <w:name w:val="heading 8"/>
    <w:basedOn w:val="Normale"/>
    <w:next w:val="Normale"/>
    <w:link w:val="Titolo8Carattere"/>
    <w:qFormat/>
    <w:rsid w:val="00A16116"/>
    <w:pPr>
      <w:keepNext/>
      <w:jc w:val="center"/>
      <w:outlineLvl w:val="7"/>
    </w:pPr>
    <w:rPr>
      <w:rFonts w:ascii="Garamond" w:hAnsi="Garamond"/>
      <w:b/>
      <w:snapToGrid w:val="0"/>
      <w:color w:val="000000"/>
      <w:sz w:val="28"/>
    </w:rPr>
  </w:style>
  <w:style w:type="paragraph" w:styleId="Titolo9">
    <w:name w:val="heading 9"/>
    <w:basedOn w:val="Normale"/>
    <w:next w:val="Normale"/>
    <w:link w:val="Titolo9Carattere"/>
    <w:qFormat/>
    <w:rsid w:val="00A16116"/>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capitolo Carattere"/>
    <w:basedOn w:val="Carpredefinitoparagrafo"/>
    <w:link w:val="Titolo1"/>
    <w:rsid w:val="00A16116"/>
    <w:rPr>
      <w:rFonts w:ascii="Arial" w:hAnsi="Arial"/>
      <w:b/>
      <w:kern w:val="32"/>
      <w:sz w:val="24"/>
      <w:szCs w:val="24"/>
    </w:rPr>
  </w:style>
  <w:style w:type="character" w:customStyle="1" w:styleId="Titolo2Carattere">
    <w:name w:val="Titolo 2 Carattere"/>
    <w:aliases w:val="Articolo Carattere"/>
    <w:basedOn w:val="Carpredefinitoparagrafo"/>
    <w:link w:val="Titolo2"/>
    <w:rsid w:val="00A16116"/>
    <w:rPr>
      <w:rFonts w:ascii="Arial" w:hAnsi="Arial"/>
      <w:b/>
      <w:caps/>
      <w:kern w:val="32"/>
      <w:sz w:val="24"/>
      <w:szCs w:val="24"/>
    </w:rPr>
  </w:style>
  <w:style w:type="character" w:customStyle="1" w:styleId="Titolo3Carattere">
    <w:name w:val="Titolo 3 Carattere"/>
    <w:basedOn w:val="Carpredefinitoparagrafo"/>
    <w:link w:val="Titolo3"/>
    <w:rsid w:val="00A16116"/>
    <w:rPr>
      <w:rFonts w:ascii="Arial" w:hAnsi="Arial"/>
      <w:b/>
      <w:i/>
      <w:sz w:val="24"/>
    </w:rPr>
  </w:style>
  <w:style w:type="character" w:customStyle="1" w:styleId="Titolo4Carattere">
    <w:name w:val="Titolo 4 Carattere"/>
    <w:basedOn w:val="Carpredefinitoparagrafo"/>
    <w:link w:val="Titolo4"/>
    <w:rsid w:val="00A16116"/>
    <w:rPr>
      <w:rFonts w:ascii="Arial" w:hAnsi="Arial" w:cs="Arial"/>
      <w:i/>
      <w:sz w:val="24"/>
      <w:szCs w:val="24"/>
    </w:rPr>
  </w:style>
  <w:style w:type="character" w:customStyle="1" w:styleId="Titolo5Carattere">
    <w:name w:val="Titolo 5 Carattere"/>
    <w:basedOn w:val="Carpredefinitoparagrafo"/>
    <w:link w:val="Titolo5"/>
    <w:rsid w:val="00A16116"/>
    <w:rPr>
      <w:rFonts w:ascii="Arial" w:hAnsi="Arial" w:cs="Arial"/>
      <w:sz w:val="22"/>
      <w:szCs w:val="24"/>
    </w:rPr>
  </w:style>
  <w:style w:type="character" w:customStyle="1" w:styleId="Titolo6Carattere">
    <w:name w:val="Titolo 6 Carattere"/>
    <w:basedOn w:val="Carpredefinitoparagrafo"/>
    <w:link w:val="Titolo6"/>
    <w:rsid w:val="00A16116"/>
    <w:rPr>
      <w:rFonts w:ascii="Garamond" w:hAnsi="Garamond"/>
      <w:sz w:val="24"/>
    </w:rPr>
  </w:style>
  <w:style w:type="character" w:customStyle="1" w:styleId="Titolo7Carattere">
    <w:name w:val="Titolo 7 Carattere"/>
    <w:basedOn w:val="Carpredefinitoparagrafo"/>
    <w:link w:val="Titolo7"/>
    <w:rsid w:val="00A16116"/>
    <w:rPr>
      <w:rFonts w:ascii="Georgia" w:hAnsi="Georgia"/>
      <w:b/>
      <w:snapToGrid w:val="0"/>
      <w:color w:val="000000"/>
      <w:sz w:val="24"/>
    </w:rPr>
  </w:style>
  <w:style w:type="character" w:customStyle="1" w:styleId="Titolo8Carattere">
    <w:name w:val="Titolo 8 Carattere"/>
    <w:basedOn w:val="Carpredefinitoparagrafo"/>
    <w:link w:val="Titolo8"/>
    <w:rsid w:val="00A16116"/>
    <w:rPr>
      <w:rFonts w:ascii="Garamond" w:hAnsi="Garamond"/>
      <w:b/>
      <w:snapToGrid w:val="0"/>
      <w:color w:val="000000"/>
      <w:sz w:val="28"/>
    </w:rPr>
  </w:style>
  <w:style w:type="character" w:customStyle="1" w:styleId="Titolo9Carattere">
    <w:name w:val="Titolo 9 Carattere"/>
    <w:basedOn w:val="Carpredefinitoparagrafo"/>
    <w:link w:val="Titolo9"/>
    <w:rsid w:val="00A16116"/>
    <w:rPr>
      <w:rFonts w:ascii="Garamond" w:hAnsi="Garamond"/>
      <w:b/>
      <w:snapToGrid w:val="0"/>
      <w:color w:val="000000"/>
      <w:sz w:val="22"/>
    </w:rPr>
  </w:style>
  <w:style w:type="paragraph" w:styleId="Sommario1">
    <w:name w:val="toc 1"/>
    <w:basedOn w:val="Normale"/>
    <w:next w:val="Normale"/>
    <w:autoRedefine/>
    <w:rsid w:val="00A16116"/>
    <w:pPr>
      <w:spacing w:before="360" w:after="360"/>
    </w:pPr>
    <w:rPr>
      <w:b/>
      <w:caps/>
      <w:sz w:val="22"/>
      <w:u w:val="single"/>
    </w:rPr>
  </w:style>
  <w:style w:type="character" w:styleId="Collegamentoipertestuale">
    <w:name w:val="Hyperlink"/>
    <w:uiPriority w:val="99"/>
    <w:rsid w:val="00A16116"/>
    <w:rPr>
      <w:color w:val="006666"/>
      <w:u w:val="single"/>
    </w:rPr>
  </w:style>
  <w:style w:type="paragraph" w:styleId="Intestazione">
    <w:name w:val="header"/>
    <w:basedOn w:val="Normale"/>
    <w:link w:val="IntestazioneCarattere"/>
    <w:autoRedefine/>
    <w:rsid w:val="00A16116"/>
    <w:pPr>
      <w:pBdr>
        <w:bottom w:val="single" w:sz="4" w:space="1" w:color="auto"/>
      </w:pBdr>
      <w:tabs>
        <w:tab w:val="center" w:pos="4819"/>
        <w:tab w:val="right" w:pos="9638"/>
      </w:tabs>
      <w:jc w:val="right"/>
    </w:pPr>
    <w:rPr>
      <w:rFonts w:ascii="Arial" w:hAnsi="Arial"/>
      <w:b/>
    </w:rPr>
  </w:style>
  <w:style w:type="character" w:customStyle="1" w:styleId="IntestazioneCarattere">
    <w:name w:val="Intestazione Carattere"/>
    <w:basedOn w:val="Carpredefinitoparagrafo"/>
    <w:link w:val="Intestazione"/>
    <w:rsid w:val="00A16116"/>
    <w:rPr>
      <w:rFonts w:ascii="Arial" w:hAnsi="Arial"/>
      <w:b/>
    </w:rPr>
  </w:style>
  <w:style w:type="paragraph" w:styleId="Pidipagina">
    <w:name w:val="footer"/>
    <w:basedOn w:val="Normale"/>
    <w:link w:val="PidipaginaCarattere"/>
    <w:rsid w:val="00A16116"/>
    <w:pPr>
      <w:tabs>
        <w:tab w:val="center" w:pos="4819"/>
        <w:tab w:val="right" w:pos="9638"/>
      </w:tabs>
    </w:pPr>
  </w:style>
  <w:style w:type="character" w:customStyle="1" w:styleId="PidipaginaCarattere">
    <w:name w:val="Piè di pagina Carattere"/>
    <w:basedOn w:val="Carpredefinitoparagrafo"/>
    <w:link w:val="Pidipagina"/>
    <w:rsid w:val="00A16116"/>
  </w:style>
  <w:style w:type="paragraph" w:styleId="Sommario2">
    <w:name w:val="toc 2"/>
    <w:basedOn w:val="Normale"/>
    <w:next w:val="Normale"/>
    <w:uiPriority w:val="39"/>
    <w:rsid w:val="00A16116"/>
    <w:pPr>
      <w:tabs>
        <w:tab w:val="left" w:pos="570"/>
        <w:tab w:val="right" w:leader="dot" w:pos="9061"/>
      </w:tabs>
      <w:spacing w:before="120" w:after="120"/>
      <w:ind w:right="284"/>
      <w:jc w:val="both"/>
    </w:pPr>
    <w:rPr>
      <w:rFonts w:ascii="Arial" w:hAnsi="Arial"/>
      <w:b/>
      <w:smallCaps/>
      <w:noProof/>
      <w:sz w:val="24"/>
    </w:rPr>
  </w:style>
  <w:style w:type="character" w:styleId="Numeropagina">
    <w:name w:val="page number"/>
    <w:rsid w:val="00A16116"/>
    <w:rPr>
      <w:rFonts w:ascii="Arial" w:hAnsi="Arial"/>
      <w:sz w:val="20"/>
    </w:rPr>
  </w:style>
  <w:style w:type="paragraph" w:customStyle="1" w:styleId="Stile1">
    <w:name w:val="Stile1"/>
    <w:basedOn w:val="Normale"/>
    <w:rsid w:val="00A16116"/>
    <w:pPr>
      <w:numPr>
        <w:numId w:val="1"/>
      </w:numPr>
    </w:pPr>
  </w:style>
  <w:style w:type="paragraph" w:styleId="Testofumetto">
    <w:name w:val="Balloon Text"/>
    <w:basedOn w:val="Normale"/>
    <w:link w:val="TestofumettoCarattere"/>
    <w:rsid w:val="00A16116"/>
    <w:rPr>
      <w:rFonts w:ascii="Tahoma" w:hAnsi="Tahoma" w:cs="Tahoma"/>
      <w:sz w:val="16"/>
      <w:szCs w:val="16"/>
    </w:rPr>
  </w:style>
  <w:style w:type="character" w:customStyle="1" w:styleId="TestofumettoCarattere">
    <w:name w:val="Testo fumetto Carattere"/>
    <w:basedOn w:val="Carpredefinitoparagrafo"/>
    <w:link w:val="Testofumetto"/>
    <w:rsid w:val="00A16116"/>
    <w:rPr>
      <w:rFonts w:ascii="Tahoma" w:hAnsi="Tahoma" w:cs="Tahoma"/>
      <w:sz w:val="16"/>
      <w:szCs w:val="16"/>
    </w:rPr>
  </w:style>
  <w:style w:type="paragraph" w:styleId="Corpotesto">
    <w:name w:val="Body Text"/>
    <w:basedOn w:val="Normale"/>
    <w:link w:val="CorpotestoCarattere"/>
    <w:rsid w:val="00A16116"/>
    <w:pPr>
      <w:ind w:left="454" w:right="612"/>
      <w:jc w:val="both"/>
    </w:pPr>
    <w:rPr>
      <w:rFonts w:ascii="Arial" w:hAnsi="Arial"/>
      <w:bCs/>
      <w:iCs/>
      <w:sz w:val="24"/>
    </w:rPr>
  </w:style>
  <w:style w:type="character" w:customStyle="1" w:styleId="CorpotestoCarattere">
    <w:name w:val="Corpo testo Carattere"/>
    <w:basedOn w:val="Carpredefinitoparagrafo"/>
    <w:link w:val="Corpotesto"/>
    <w:rsid w:val="00A16116"/>
    <w:rPr>
      <w:rFonts w:ascii="Arial" w:hAnsi="Arial"/>
      <w:bCs/>
      <w:iCs/>
      <w:sz w:val="24"/>
    </w:rPr>
  </w:style>
  <w:style w:type="paragraph" w:customStyle="1" w:styleId="ChapterTitle">
    <w:name w:val="Chapter Title"/>
    <w:basedOn w:val="Titolo7"/>
    <w:autoRedefine/>
    <w:rsid w:val="00A16116"/>
    <w:pPr>
      <w:spacing w:before="360" w:after="360"/>
      <w:ind w:left="284"/>
    </w:pPr>
    <w:rPr>
      <w:rFonts w:ascii="Arial" w:hAnsi="Arial"/>
      <w:caps/>
      <w:sz w:val="28"/>
    </w:rPr>
  </w:style>
  <w:style w:type="character" w:customStyle="1" w:styleId="CorpodeltestoCarattere">
    <w:name w:val="Corpo del testo Carattere"/>
    <w:rsid w:val="00A16116"/>
    <w:rPr>
      <w:rFonts w:ascii="Arial" w:hAnsi="Arial"/>
      <w:sz w:val="24"/>
      <w:lang w:val="it-IT" w:eastAsia="it-IT" w:bidi="ar-SA"/>
    </w:rPr>
  </w:style>
  <w:style w:type="paragraph" w:styleId="Sommario3">
    <w:name w:val="toc 3"/>
    <w:basedOn w:val="Normale"/>
    <w:next w:val="Normale"/>
    <w:uiPriority w:val="39"/>
    <w:rsid w:val="00A16116"/>
    <w:pPr>
      <w:tabs>
        <w:tab w:val="right" w:leader="dot" w:pos="9061"/>
      </w:tabs>
      <w:spacing w:before="60" w:after="60"/>
      <w:ind w:right="284"/>
      <w:jc w:val="both"/>
    </w:pPr>
    <w:rPr>
      <w:rFonts w:ascii="Arial" w:hAnsi="Arial"/>
      <w:b/>
      <w:i/>
      <w:noProof/>
      <w:sz w:val="22"/>
    </w:rPr>
  </w:style>
  <w:style w:type="paragraph" w:styleId="Rientrocorpodeltesto">
    <w:name w:val="Body Text Indent"/>
    <w:basedOn w:val="Normale"/>
    <w:link w:val="RientrocorpodeltestoCarattere"/>
    <w:rsid w:val="00A16116"/>
    <w:pPr>
      <w:numPr>
        <w:numId w:val="7"/>
      </w:numPr>
      <w:ind w:right="612"/>
      <w:jc w:val="both"/>
    </w:pPr>
    <w:rPr>
      <w:rFonts w:ascii="Arial" w:hAnsi="Arial"/>
      <w:sz w:val="24"/>
    </w:rPr>
  </w:style>
  <w:style w:type="character" w:customStyle="1" w:styleId="RientrocorpodeltestoCarattere">
    <w:name w:val="Rientro corpo del testo Carattere"/>
    <w:basedOn w:val="Carpredefinitoparagrafo"/>
    <w:link w:val="Rientrocorpodeltesto"/>
    <w:rsid w:val="00A16116"/>
    <w:rPr>
      <w:rFonts w:ascii="Arial" w:hAnsi="Arial"/>
      <w:sz w:val="24"/>
    </w:rPr>
  </w:style>
  <w:style w:type="paragraph" w:styleId="Rientrocorpodeltesto2">
    <w:name w:val="Body Text Indent 2"/>
    <w:basedOn w:val="Normale"/>
    <w:link w:val="Rientrocorpodeltesto2Carattere"/>
    <w:rsid w:val="00A16116"/>
    <w:pPr>
      <w:numPr>
        <w:numId w:val="5"/>
      </w:numPr>
      <w:ind w:right="454"/>
      <w:jc w:val="both"/>
    </w:pPr>
    <w:rPr>
      <w:rFonts w:ascii="Arial" w:hAnsi="Arial"/>
      <w:sz w:val="24"/>
    </w:rPr>
  </w:style>
  <w:style w:type="character" w:customStyle="1" w:styleId="Rientrocorpodeltesto2Carattere">
    <w:name w:val="Rientro corpo del testo 2 Carattere"/>
    <w:basedOn w:val="Carpredefinitoparagrafo"/>
    <w:link w:val="Rientrocorpodeltesto2"/>
    <w:rsid w:val="00A16116"/>
    <w:rPr>
      <w:rFonts w:ascii="Arial" w:hAnsi="Arial"/>
      <w:sz w:val="24"/>
    </w:rPr>
  </w:style>
  <w:style w:type="paragraph" w:styleId="Rientrocorpodeltesto3">
    <w:name w:val="Body Text Indent 3"/>
    <w:basedOn w:val="Normale"/>
    <w:link w:val="Rientrocorpodeltesto3Carattere"/>
    <w:rsid w:val="00A16116"/>
    <w:pPr>
      <w:ind w:left="426"/>
      <w:jc w:val="both"/>
    </w:pPr>
    <w:rPr>
      <w:rFonts w:ascii="Garamond" w:hAnsi="Garamond"/>
      <w:i/>
      <w:snapToGrid w:val="0"/>
      <w:sz w:val="24"/>
    </w:rPr>
  </w:style>
  <w:style w:type="character" w:customStyle="1" w:styleId="Rientrocorpodeltesto3Carattere">
    <w:name w:val="Rientro corpo del testo 3 Carattere"/>
    <w:basedOn w:val="Carpredefinitoparagrafo"/>
    <w:link w:val="Rientrocorpodeltesto3"/>
    <w:rsid w:val="00A16116"/>
    <w:rPr>
      <w:rFonts w:ascii="Garamond" w:hAnsi="Garamond"/>
      <w:i/>
      <w:snapToGrid w:val="0"/>
      <w:sz w:val="24"/>
    </w:rPr>
  </w:style>
  <w:style w:type="paragraph" w:styleId="Testonotaapidipagina">
    <w:name w:val="footnote text"/>
    <w:basedOn w:val="Normale"/>
    <w:link w:val="TestonotaapidipaginaCarattere"/>
    <w:rsid w:val="00A16116"/>
  </w:style>
  <w:style w:type="character" w:customStyle="1" w:styleId="TestonotaapidipaginaCarattere">
    <w:name w:val="Testo nota a piè di pagina Carattere"/>
    <w:basedOn w:val="Carpredefinitoparagrafo"/>
    <w:link w:val="Testonotaapidipagina"/>
    <w:rsid w:val="00A16116"/>
  </w:style>
  <w:style w:type="character" w:styleId="Rimandonotaapidipagina">
    <w:name w:val="footnote reference"/>
    <w:rsid w:val="00A16116"/>
    <w:rPr>
      <w:vertAlign w:val="superscript"/>
    </w:rPr>
  </w:style>
  <w:style w:type="paragraph" w:customStyle="1" w:styleId="text">
    <w:name w:val="text"/>
    <w:basedOn w:val="Normale"/>
    <w:rsid w:val="00A16116"/>
    <w:pPr>
      <w:spacing w:after="200" w:line="280" w:lineRule="exact"/>
      <w:jc w:val="both"/>
    </w:pPr>
    <w:rPr>
      <w:lang w:val="en-GB"/>
    </w:rPr>
  </w:style>
  <w:style w:type="paragraph" w:styleId="Mappadocumento">
    <w:name w:val="Document Map"/>
    <w:basedOn w:val="Normale"/>
    <w:link w:val="MappadocumentoCarattere"/>
    <w:rsid w:val="00A16116"/>
    <w:pPr>
      <w:shd w:val="clear" w:color="auto" w:fill="000080"/>
    </w:pPr>
    <w:rPr>
      <w:rFonts w:ascii="Tahoma" w:hAnsi="Tahoma"/>
    </w:rPr>
  </w:style>
  <w:style w:type="character" w:customStyle="1" w:styleId="MappadocumentoCarattere">
    <w:name w:val="Mappa documento Carattere"/>
    <w:basedOn w:val="Carpredefinitoparagrafo"/>
    <w:link w:val="Mappadocumento"/>
    <w:rsid w:val="00A16116"/>
    <w:rPr>
      <w:rFonts w:ascii="Tahoma" w:hAnsi="Tahoma"/>
      <w:shd w:val="clear" w:color="auto" w:fill="000080"/>
    </w:rPr>
  </w:style>
  <w:style w:type="paragraph" w:styleId="Sommario4">
    <w:name w:val="toc 4"/>
    <w:basedOn w:val="Normale"/>
    <w:next w:val="Normale"/>
    <w:rsid w:val="00A16116"/>
    <w:pPr>
      <w:tabs>
        <w:tab w:val="left" w:pos="9061"/>
      </w:tabs>
    </w:pPr>
    <w:rPr>
      <w:rFonts w:ascii="Arial" w:hAnsi="Arial"/>
      <w:i/>
      <w:sz w:val="22"/>
    </w:rPr>
  </w:style>
  <w:style w:type="paragraph" w:styleId="Sommario5">
    <w:name w:val="toc 5"/>
    <w:basedOn w:val="Normale"/>
    <w:next w:val="Normale"/>
    <w:autoRedefine/>
    <w:rsid w:val="00A16116"/>
    <w:rPr>
      <w:rFonts w:ascii="Arial" w:hAnsi="Arial"/>
      <w:sz w:val="22"/>
    </w:rPr>
  </w:style>
  <w:style w:type="paragraph" w:styleId="Sommario6">
    <w:name w:val="toc 6"/>
    <w:basedOn w:val="Normale"/>
    <w:next w:val="Normale"/>
    <w:autoRedefine/>
    <w:rsid w:val="00A16116"/>
    <w:rPr>
      <w:sz w:val="22"/>
    </w:rPr>
  </w:style>
  <w:style w:type="paragraph" w:styleId="Sommario7">
    <w:name w:val="toc 7"/>
    <w:basedOn w:val="Normale"/>
    <w:next w:val="Normale"/>
    <w:autoRedefine/>
    <w:rsid w:val="00A16116"/>
    <w:rPr>
      <w:sz w:val="22"/>
    </w:rPr>
  </w:style>
  <w:style w:type="paragraph" w:styleId="Sommario8">
    <w:name w:val="toc 8"/>
    <w:basedOn w:val="Normale"/>
    <w:next w:val="Normale"/>
    <w:autoRedefine/>
    <w:rsid w:val="00A16116"/>
    <w:rPr>
      <w:sz w:val="22"/>
    </w:rPr>
  </w:style>
  <w:style w:type="paragraph" w:styleId="Sommario9">
    <w:name w:val="toc 9"/>
    <w:basedOn w:val="Normale"/>
    <w:next w:val="Normale"/>
    <w:autoRedefine/>
    <w:rsid w:val="00A16116"/>
    <w:rPr>
      <w:sz w:val="22"/>
    </w:rPr>
  </w:style>
  <w:style w:type="paragraph" w:styleId="Corpodeltesto2">
    <w:name w:val="Body Text 2"/>
    <w:basedOn w:val="Normale"/>
    <w:link w:val="Corpodeltesto2Carattere"/>
    <w:rsid w:val="00A16116"/>
    <w:pPr>
      <w:jc w:val="center"/>
    </w:pPr>
    <w:rPr>
      <w:rFonts w:ascii="Garamond" w:hAnsi="Garamond"/>
      <w:sz w:val="24"/>
    </w:rPr>
  </w:style>
  <w:style w:type="character" w:customStyle="1" w:styleId="Corpodeltesto2Carattere">
    <w:name w:val="Corpo del testo 2 Carattere"/>
    <w:basedOn w:val="Carpredefinitoparagrafo"/>
    <w:link w:val="Corpodeltesto2"/>
    <w:rsid w:val="00A16116"/>
    <w:rPr>
      <w:rFonts w:ascii="Garamond" w:hAnsi="Garamond"/>
      <w:sz w:val="24"/>
    </w:rPr>
  </w:style>
  <w:style w:type="paragraph" w:styleId="Indicedellefigure">
    <w:name w:val="table of figures"/>
    <w:basedOn w:val="Normale"/>
    <w:next w:val="Normale"/>
    <w:rsid w:val="00A16116"/>
    <w:pPr>
      <w:ind w:left="400" w:hanging="400"/>
    </w:pPr>
  </w:style>
  <w:style w:type="paragraph" w:customStyle="1" w:styleId="L1">
    <w:name w:val="L1"/>
    <w:basedOn w:val="Normale"/>
    <w:rsid w:val="00A16116"/>
    <w:pPr>
      <w:numPr>
        <w:numId w:val="2"/>
      </w:numPr>
      <w:jc w:val="both"/>
    </w:pPr>
    <w:rPr>
      <w:rFonts w:ascii="Garamond" w:hAnsi="Garamond"/>
      <w:sz w:val="24"/>
    </w:rPr>
  </w:style>
  <w:style w:type="paragraph" w:customStyle="1" w:styleId="L2">
    <w:name w:val="L2"/>
    <w:basedOn w:val="Normale"/>
    <w:rsid w:val="00A16116"/>
    <w:pPr>
      <w:numPr>
        <w:ilvl w:val="1"/>
        <w:numId w:val="2"/>
      </w:numPr>
      <w:jc w:val="both"/>
    </w:pPr>
    <w:rPr>
      <w:rFonts w:ascii="Garamond" w:hAnsi="Garamond"/>
      <w:b/>
      <w:sz w:val="24"/>
    </w:rPr>
  </w:style>
  <w:style w:type="paragraph" w:customStyle="1" w:styleId="L3">
    <w:name w:val="L3"/>
    <w:basedOn w:val="Normale"/>
    <w:rsid w:val="00A16116"/>
    <w:pPr>
      <w:numPr>
        <w:ilvl w:val="2"/>
        <w:numId w:val="2"/>
      </w:numPr>
      <w:jc w:val="both"/>
    </w:pPr>
    <w:rPr>
      <w:rFonts w:ascii="Garamond" w:hAnsi="Garamond"/>
      <w:i/>
      <w:sz w:val="24"/>
    </w:rPr>
  </w:style>
  <w:style w:type="paragraph" w:customStyle="1" w:styleId="B1">
    <w:name w:val="B1"/>
    <w:basedOn w:val="Normale"/>
    <w:autoRedefine/>
    <w:rsid w:val="00A16116"/>
    <w:pPr>
      <w:numPr>
        <w:numId w:val="3"/>
      </w:numPr>
      <w:jc w:val="both"/>
    </w:pPr>
    <w:rPr>
      <w:rFonts w:ascii="Garamond" w:hAnsi="Garamond"/>
      <w:b/>
      <w:sz w:val="24"/>
    </w:rPr>
  </w:style>
  <w:style w:type="paragraph" w:customStyle="1" w:styleId="L4">
    <w:name w:val="L4"/>
    <w:basedOn w:val="L3"/>
    <w:rsid w:val="00A16116"/>
    <w:pPr>
      <w:numPr>
        <w:ilvl w:val="3"/>
      </w:numPr>
      <w:tabs>
        <w:tab w:val="clear" w:pos="1080"/>
        <w:tab w:val="num" w:pos="360"/>
      </w:tabs>
    </w:pPr>
  </w:style>
  <w:style w:type="paragraph" w:customStyle="1" w:styleId="B2">
    <w:name w:val="B2"/>
    <w:basedOn w:val="Normale"/>
    <w:autoRedefine/>
    <w:rsid w:val="00A16116"/>
    <w:pPr>
      <w:numPr>
        <w:ilvl w:val="1"/>
        <w:numId w:val="3"/>
      </w:numPr>
      <w:jc w:val="both"/>
    </w:pPr>
    <w:rPr>
      <w:rFonts w:ascii="Garamond" w:hAnsi="Garamond"/>
      <w:b/>
      <w:sz w:val="24"/>
    </w:rPr>
  </w:style>
  <w:style w:type="paragraph" w:customStyle="1" w:styleId="B3">
    <w:name w:val="B3"/>
    <w:basedOn w:val="Normale"/>
    <w:autoRedefine/>
    <w:rsid w:val="00A16116"/>
    <w:pPr>
      <w:numPr>
        <w:ilvl w:val="2"/>
        <w:numId w:val="3"/>
      </w:numPr>
      <w:jc w:val="both"/>
    </w:pPr>
    <w:rPr>
      <w:rFonts w:ascii="Garamond" w:hAnsi="Garamond"/>
      <w:i/>
      <w:sz w:val="24"/>
    </w:rPr>
  </w:style>
  <w:style w:type="paragraph" w:styleId="Corpodeltesto3">
    <w:name w:val="Body Text 3"/>
    <w:basedOn w:val="Normale"/>
    <w:link w:val="Corpodeltesto3Carattere"/>
    <w:autoRedefine/>
    <w:rsid w:val="00A16116"/>
    <w:pPr>
      <w:ind w:left="454"/>
    </w:pPr>
    <w:rPr>
      <w:rFonts w:ascii="Arial" w:hAnsi="Arial"/>
      <w:b/>
      <w:snapToGrid w:val="0"/>
      <w:color w:val="000000"/>
      <w:sz w:val="24"/>
    </w:rPr>
  </w:style>
  <w:style w:type="character" w:customStyle="1" w:styleId="Corpodeltesto3Carattere">
    <w:name w:val="Corpo del testo 3 Carattere"/>
    <w:basedOn w:val="Carpredefinitoparagrafo"/>
    <w:link w:val="Corpodeltesto3"/>
    <w:rsid w:val="00A16116"/>
    <w:rPr>
      <w:rFonts w:ascii="Arial" w:hAnsi="Arial"/>
      <w:b/>
      <w:snapToGrid w:val="0"/>
      <w:color w:val="000000"/>
      <w:sz w:val="24"/>
    </w:rPr>
  </w:style>
  <w:style w:type="paragraph" w:customStyle="1" w:styleId="NormaleWeb1">
    <w:name w:val="Normale (Web)1"/>
    <w:basedOn w:val="Normale"/>
    <w:rsid w:val="00A16116"/>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rsid w:val="00A16116"/>
    <w:pPr>
      <w:ind w:left="454"/>
      <w:jc w:val="center"/>
    </w:pPr>
    <w:rPr>
      <w:rFonts w:ascii="Garamond" w:hAnsi="Garamond"/>
      <w:sz w:val="24"/>
    </w:rPr>
  </w:style>
  <w:style w:type="paragraph" w:customStyle="1" w:styleId="xl30">
    <w:name w:val="xl30"/>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rsid w:val="00A16116"/>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rsid w:val="00A16116"/>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rsid w:val="00A16116"/>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rsid w:val="00A16116"/>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sid w:val="00A16116"/>
    <w:rPr>
      <w:color w:val="800080"/>
      <w:u w:val="single"/>
    </w:rPr>
  </w:style>
  <w:style w:type="paragraph" w:customStyle="1" w:styleId="E1">
    <w:name w:val="E1"/>
    <w:basedOn w:val="L1"/>
    <w:autoRedefine/>
    <w:rsid w:val="00A16116"/>
    <w:pPr>
      <w:numPr>
        <w:numId w:val="9"/>
      </w:numPr>
    </w:pPr>
    <w:rPr>
      <w:b/>
    </w:rPr>
  </w:style>
  <w:style w:type="character" w:styleId="Enfasigrassetto">
    <w:name w:val="Strong"/>
    <w:qFormat/>
    <w:rsid w:val="00A16116"/>
    <w:rPr>
      <w:b/>
      <w:bCs/>
    </w:rPr>
  </w:style>
  <w:style w:type="paragraph" w:customStyle="1" w:styleId="Intestazione2">
    <w:name w:val="Intestazione 2"/>
    <w:basedOn w:val="Intestazione"/>
    <w:rsid w:val="00A16116"/>
    <w:pPr>
      <w:pBdr>
        <w:bottom w:val="none" w:sz="0" w:space="0" w:color="auto"/>
      </w:pBdr>
      <w:jc w:val="left"/>
    </w:pPr>
    <w:rPr>
      <w:rFonts w:cs="Arial"/>
      <w:i/>
    </w:rPr>
  </w:style>
  <w:style w:type="paragraph" w:customStyle="1" w:styleId="Rientrocorpodeltesto1">
    <w:name w:val="Rientro corpo del testo 1"/>
    <w:basedOn w:val="Rientrocorpodeltesto"/>
    <w:rsid w:val="00A16116"/>
    <w:pPr>
      <w:numPr>
        <w:numId w:val="4"/>
      </w:numPr>
    </w:pPr>
    <w:rPr>
      <w:b/>
    </w:rPr>
  </w:style>
  <w:style w:type="paragraph" w:customStyle="1" w:styleId="primolivellobullet">
    <w:name w:val="primo livello bullet"/>
    <w:basedOn w:val="Corpotesto"/>
    <w:rsid w:val="00A16116"/>
    <w:pPr>
      <w:numPr>
        <w:numId w:val="10"/>
      </w:numPr>
    </w:pPr>
  </w:style>
  <w:style w:type="paragraph" w:customStyle="1" w:styleId="Titolo3connumerazione">
    <w:name w:val="Titolo 3 con numerazione"/>
    <w:basedOn w:val="Titolo2"/>
    <w:rsid w:val="00A16116"/>
    <w:pPr>
      <w:numPr>
        <w:ilvl w:val="0"/>
        <w:numId w:val="0"/>
      </w:numPr>
      <w:tabs>
        <w:tab w:val="num" w:pos="1080"/>
      </w:tabs>
      <w:spacing w:before="240" w:after="120"/>
      <w:ind w:left="1080" w:right="0" w:hanging="720"/>
      <w:jc w:val="both"/>
    </w:pPr>
    <w:rPr>
      <w:rFonts w:cs="Arial"/>
      <w:b w:val="0"/>
      <w:bCs/>
      <w:i/>
      <w:iCs/>
      <w:caps w:val="0"/>
      <w:kern w:val="0"/>
      <w:sz w:val="22"/>
      <w:szCs w:val="22"/>
      <w:u w:val="single"/>
      <w:lang w:eastAsia="en-US"/>
    </w:rPr>
  </w:style>
  <w:style w:type="table" w:styleId="Grigliatabella">
    <w:name w:val="Table Grid"/>
    <w:basedOn w:val="Tabellanormale"/>
    <w:rsid w:val="00A16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A16116"/>
    <w:rPr>
      <w:color w:val="808080"/>
    </w:rPr>
  </w:style>
  <w:style w:type="character" w:styleId="Rimandocommento">
    <w:name w:val="annotation reference"/>
    <w:basedOn w:val="Carpredefinitoparagrafo"/>
    <w:uiPriority w:val="99"/>
    <w:unhideWhenUsed/>
    <w:rsid w:val="00A16116"/>
    <w:rPr>
      <w:sz w:val="16"/>
      <w:szCs w:val="16"/>
    </w:rPr>
  </w:style>
  <w:style w:type="paragraph" w:styleId="Testocommento">
    <w:name w:val="annotation text"/>
    <w:basedOn w:val="Normale"/>
    <w:link w:val="TestocommentoCarattere"/>
    <w:uiPriority w:val="99"/>
    <w:unhideWhenUsed/>
    <w:rsid w:val="00A16116"/>
  </w:style>
  <w:style w:type="character" w:customStyle="1" w:styleId="TestocommentoCarattere">
    <w:name w:val="Testo commento Carattere"/>
    <w:basedOn w:val="Carpredefinitoparagrafo"/>
    <w:link w:val="Testocommento"/>
    <w:uiPriority w:val="99"/>
    <w:rsid w:val="00A16116"/>
  </w:style>
  <w:style w:type="paragraph" w:styleId="Soggettocommento">
    <w:name w:val="annotation subject"/>
    <w:basedOn w:val="Testocommento"/>
    <w:next w:val="Testocommento"/>
    <w:link w:val="SoggettocommentoCarattere"/>
    <w:uiPriority w:val="99"/>
    <w:unhideWhenUsed/>
    <w:rsid w:val="00A16116"/>
    <w:rPr>
      <w:b/>
      <w:bCs/>
    </w:rPr>
  </w:style>
  <w:style w:type="character" w:customStyle="1" w:styleId="SoggettocommentoCarattere">
    <w:name w:val="Soggetto commento Carattere"/>
    <w:basedOn w:val="TestocommentoCarattere"/>
    <w:link w:val="Soggettocommento"/>
    <w:uiPriority w:val="99"/>
    <w:rsid w:val="00A1611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16116"/>
  </w:style>
  <w:style w:type="paragraph" w:styleId="Titolo1">
    <w:name w:val="heading 1"/>
    <w:aliases w:val="Titolo capitolo"/>
    <w:basedOn w:val="Titolo2"/>
    <w:next w:val="Normale"/>
    <w:link w:val="Titolo1Carattere"/>
    <w:autoRedefine/>
    <w:qFormat/>
    <w:rsid w:val="00A16116"/>
    <w:pPr>
      <w:numPr>
        <w:ilvl w:val="0"/>
        <w:numId w:val="0"/>
      </w:numPr>
      <w:ind w:right="45"/>
      <w:outlineLvl w:val="0"/>
    </w:pPr>
    <w:rPr>
      <w:caps w:val="0"/>
    </w:rPr>
  </w:style>
  <w:style w:type="paragraph" w:styleId="Titolo2">
    <w:name w:val="heading 2"/>
    <w:aliases w:val="Articolo"/>
    <w:next w:val="Normale"/>
    <w:link w:val="Titolo2Carattere"/>
    <w:qFormat/>
    <w:rsid w:val="00A16116"/>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link w:val="Titolo3Carattere"/>
    <w:qFormat/>
    <w:rsid w:val="00A16116"/>
    <w:pPr>
      <w:keepNext/>
      <w:numPr>
        <w:ilvl w:val="2"/>
        <w:numId w:val="6"/>
      </w:numPr>
      <w:spacing w:before="360" w:after="240"/>
      <w:ind w:right="612"/>
      <w:jc w:val="both"/>
      <w:outlineLvl w:val="2"/>
    </w:pPr>
    <w:rPr>
      <w:rFonts w:ascii="Arial" w:hAnsi="Arial"/>
      <w:b/>
      <w:i/>
      <w:sz w:val="24"/>
    </w:rPr>
  </w:style>
  <w:style w:type="paragraph" w:styleId="Titolo4">
    <w:name w:val="heading 4"/>
    <w:next w:val="Normale"/>
    <w:link w:val="Titolo4Carattere"/>
    <w:qFormat/>
    <w:rsid w:val="00A16116"/>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link w:val="Titolo5Carattere"/>
    <w:autoRedefine/>
    <w:qFormat/>
    <w:rsid w:val="00A16116"/>
    <w:pPr>
      <w:numPr>
        <w:ilvl w:val="4"/>
      </w:numPr>
      <w:outlineLvl w:val="4"/>
    </w:pPr>
    <w:rPr>
      <w:i w:val="0"/>
      <w:sz w:val="22"/>
    </w:rPr>
  </w:style>
  <w:style w:type="paragraph" w:styleId="Titolo6">
    <w:name w:val="heading 6"/>
    <w:basedOn w:val="Normale"/>
    <w:next w:val="Normale"/>
    <w:link w:val="Titolo6Carattere"/>
    <w:qFormat/>
    <w:rsid w:val="00A16116"/>
    <w:pPr>
      <w:keepNext/>
      <w:jc w:val="center"/>
      <w:outlineLvl w:val="5"/>
    </w:pPr>
    <w:rPr>
      <w:rFonts w:ascii="Garamond" w:hAnsi="Garamond"/>
      <w:sz w:val="24"/>
    </w:rPr>
  </w:style>
  <w:style w:type="paragraph" w:styleId="Titolo7">
    <w:name w:val="heading 7"/>
    <w:basedOn w:val="Normale"/>
    <w:next w:val="Normale"/>
    <w:link w:val="Titolo7Carattere"/>
    <w:qFormat/>
    <w:rsid w:val="00A16116"/>
    <w:pPr>
      <w:keepNext/>
      <w:jc w:val="center"/>
      <w:outlineLvl w:val="6"/>
    </w:pPr>
    <w:rPr>
      <w:rFonts w:ascii="Georgia" w:hAnsi="Georgia"/>
      <w:b/>
      <w:snapToGrid w:val="0"/>
      <w:color w:val="000000"/>
      <w:sz w:val="24"/>
    </w:rPr>
  </w:style>
  <w:style w:type="paragraph" w:styleId="Titolo8">
    <w:name w:val="heading 8"/>
    <w:basedOn w:val="Normale"/>
    <w:next w:val="Normale"/>
    <w:link w:val="Titolo8Carattere"/>
    <w:qFormat/>
    <w:rsid w:val="00A16116"/>
    <w:pPr>
      <w:keepNext/>
      <w:jc w:val="center"/>
      <w:outlineLvl w:val="7"/>
    </w:pPr>
    <w:rPr>
      <w:rFonts w:ascii="Garamond" w:hAnsi="Garamond"/>
      <w:b/>
      <w:snapToGrid w:val="0"/>
      <w:color w:val="000000"/>
      <w:sz w:val="28"/>
    </w:rPr>
  </w:style>
  <w:style w:type="paragraph" w:styleId="Titolo9">
    <w:name w:val="heading 9"/>
    <w:basedOn w:val="Normale"/>
    <w:next w:val="Normale"/>
    <w:link w:val="Titolo9Carattere"/>
    <w:qFormat/>
    <w:rsid w:val="00A16116"/>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capitolo Carattere"/>
    <w:basedOn w:val="Carpredefinitoparagrafo"/>
    <w:link w:val="Titolo1"/>
    <w:rsid w:val="00A16116"/>
    <w:rPr>
      <w:rFonts w:ascii="Arial" w:hAnsi="Arial"/>
      <w:b/>
      <w:kern w:val="32"/>
      <w:sz w:val="24"/>
      <w:szCs w:val="24"/>
    </w:rPr>
  </w:style>
  <w:style w:type="character" w:customStyle="1" w:styleId="Titolo2Carattere">
    <w:name w:val="Titolo 2 Carattere"/>
    <w:aliases w:val="Articolo Carattere"/>
    <w:basedOn w:val="Carpredefinitoparagrafo"/>
    <w:link w:val="Titolo2"/>
    <w:rsid w:val="00A16116"/>
    <w:rPr>
      <w:rFonts w:ascii="Arial" w:hAnsi="Arial"/>
      <w:b/>
      <w:caps/>
      <w:kern w:val="32"/>
      <w:sz w:val="24"/>
      <w:szCs w:val="24"/>
    </w:rPr>
  </w:style>
  <w:style w:type="character" w:customStyle="1" w:styleId="Titolo3Carattere">
    <w:name w:val="Titolo 3 Carattere"/>
    <w:basedOn w:val="Carpredefinitoparagrafo"/>
    <w:link w:val="Titolo3"/>
    <w:rsid w:val="00A16116"/>
    <w:rPr>
      <w:rFonts w:ascii="Arial" w:hAnsi="Arial"/>
      <w:b/>
      <w:i/>
      <w:sz w:val="24"/>
    </w:rPr>
  </w:style>
  <w:style w:type="character" w:customStyle="1" w:styleId="Titolo4Carattere">
    <w:name w:val="Titolo 4 Carattere"/>
    <w:basedOn w:val="Carpredefinitoparagrafo"/>
    <w:link w:val="Titolo4"/>
    <w:rsid w:val="00A16116"/>
    <w:rPr>
      <w:rFonts w:ascii="Arial" w:hAnsi="Arial" w:cs="Arial"/>
      <w:i/>
      <w:sz w:val="24"/>
      <w:szCs w:val="24"/>
    </w:rPr>
  </w:style>
  <w:style w:type="character" w:customStyle="1" w:styleId="Titolo5Carattere">
    <w:name w:val="Titolo 5 Carattere"/>
    <w:basedOn w:val="Carpredefinitoparagrafo"/>
    <w:link w:val="Titolo5"/>
    <w:rsid w:val="00A16116"/>
    <w:rPr>
      <w:rFonts w:ascii="Arial" w:hAnsi="Arial" w:cs="Arial"/>
      <w:sz w:val="22"/>
      <w:szCs w:val="24"/>
    </w:rPr>
  </w:style>
  <w:style w:type="character" w:customStyle="1" w:styleId="Titolo6Carattere">
    <w:name w:val="Titolo 6 Carattere"/>
    <w:basedOn w:val="Carpredefinitoparagrafo"/>
    <w:link w:val="Titolo6"/>
    <w:rsid w:val="00A16116"/>
    <w:rPr>
      <w:rFonts w:ascii="Garamond" w:hAnsi="Garamond"/>
      <w:sz w:val="24"/>
    </w:rPr>
  </w:style>
  <w:style w:type="character" w:customStyle="1" w:styleId="Titolo7Carattere">
    <w:name w:val="Titolo 7 Carattere"/>
    <w:basedOn w:val="Carpredefinitoparagrafo"/>
    <w:link w:val="Titolo7"/>
    <w:rsid w:val="00A16116"/>
    <w:rPr>
      <w:rFonts w:ascii="Georgia" w:hAnsi="Georgia"/>
      <w:b/>
      <w:snapToGrid w:val="0"/>
      <w:color w:val="000000"/>
      <w:sz w:val="24"/>
    </w:rPr>
  </w:style>
  <w:style w:type="character" w:customStyle="1" w:styleId="Titolo8Carattere">
    <w:name w:val="Titolo 8 Carattere"/>
    <w:basedOn w:val="Carpredefinitoparagrafo"/>
    <w:link w:val="Titolo8"/>
    <w:rsid w:val="00A16116"/>
    <w:rPr>
      <w:rFonts w:ascii="Garamond" w:hAnsi="Garamond"/>
      <w:b/>
      <w:snapToGrid w:val="0"/>
      <w:color w:val="000000"/>
      <w:sz w:val="28"/>
    </w:rPr>
  </w:style>
  <w:style w:type="character" w:customStyle="1" w:styleId="Titolo9Carattere">
    <w:name w:val="Titolo 9 Carattere"/>
    <w:basedOn w:val="Carpredefinitoparagrafo"/>
    <w:link w:val="Titolo9"/>
    <w:rsid w:val="00A16116"/>
    <w:rPr>
      <w:rFonts w:ascii="Garamond" w:hAnsi="Garamond"/>
      <w:b/>
      <w:snapToGrid w:val="0"/>
      <w:color w:val="000000"/>
      <w:sz w:val="22"/>
    </w:rPr>
  </w:style>
  <w:style w:type="paragraph" w:styleId="Sommario1">
    <w:name w:val="toc 1"/>
    <w:basedOn w:val="Normale"/>
    <w:next w:val="Normale"/>
    <w:autoRedefine/>
    <w:rsid w:val="00A16116"/>
    <w:pPr>
      <w:spacing w:before="360" w:after="360"/>
    </w:pPr>
    <w:rPr>
      <w:b/>
      <w:caps/>
      <w:sz w:val="22"/>
      <w:u w:val="single"/>
    </w:rPr>
  </w:style>
  <w:style w:type="character" w:styleId="Collegamentoipertestuale">
    <w:name w:val="Hyperlink"/>
    <w:uiPriority w:val="99"/>
    <w:rsid w:val="00A16116"/>
    <w:rPr>
      <w:color w:val="006666"/>
      <w:u w:val="single"/>
    </w:rPr>
  </w:style>
  <w:style w:type="paragraph" w:styleId="Intestazione">
    <w:name w:val="header"/>
    <w:basedOn w:val="Normale"/>
    <w:link w:val="IntestazioneCarattere"/>
    <w:autoRedefine/>
    <w:rsid w:val="00A16116"/>
    <w:pPr>
      <w:pBdr>
        <w:bottom w:val="single" w:sz="4" w:space="1" w:color="auto"/>
      </w:pBdr>
      <w:tabs>
        <w:tab w:val="center" w:pos="4819"/>
        <w:tab w:val="right" w:pos="9638"/>
      </w:tabs>
      <w:jc w:val="right"/>
    </w:pPr>
    <w:rPr>
      <w:rFonts w:ascii="Arial" w:hAnsi="Arial"/>
      <w:b/>
    </w:rPr>
  </w:style>
  <w:style w:type="character" w:customStyle="1" w:styleId="IntestazioneCarattere">
    <w:name w:val="Intestazione Carattere"/>
    <w:basedOn w:val="Carpredefinitoparagrafo"/>
    <w:link w:val="Intestazione"/>
    <w:rsid w:val="00A16116"/>
    <w:rPr>
      <w:rFonts w:ascii="Arial" w:hAnsi="Arial"/>
      <w:b/>
    </w:rPr>
  </w:style>
  <w:style w:type="paragraph" w:styleId="Pidipagina">
    <w:name w:val="footer"/>
    <w:basedOn w:val="Normale"/>
    <w:link w:val="PidipaginaCarattere"/>
    <w:rsid w:val="00A16116"/>
    <w:pPr>
      <w:tabs>
        <w:tab w:val="center" w:pos="4819"/>
        <w:tab w:val="right" w:pos="9638"/>
      </w:tabs>
    </w:pPr>
  </w:style>
  <w:style w:type="character" w:customStyle="1" w:styleId="PidipaginaCarattere">
    <w:name w:val="Piè di pagina Carattere"/>
    <w:basedOn w:val="Carpredefinitoparagrafo"/>
    <w:link w:val="Pidipagina"/>
    <w:rsid w:val="00A16116"/>
  </w:style>
  <w:style w:type="paragraph" w:styleId="Sommario2">
    <w:name w:val="toc 2"/>
    <w:basedOn w:val="Normale"/>
    <w:next w:val="Normale"/>
    <w:uiPriority w:val="39"/>
    <w:rsid w:val="00A16116"/>
    <w:pPr>
      <w:tabs>
        <w:tab w:val="left" w:pos="570"/>
        <w:tab w:val="right" w:leader="dot" w:pos="9061"/>
      </w:tabs>
      <w:spacing w:before="120" w:after="120"/>
      <w:ind w:right="284"/>
      <w:jc w:val="both"/>
    </w:pPr>
    <w:rPr>
      <w:rFonts w:ascii="Arial" w:hAnsi="Arial"/>
      <w:b/>
      <w:smallCaps/>
      <w:noProof/>
      <w:sz w:val="24"/>
    </w:rPr>
  </w:style>
  <w:style w:type="character" w:styleId="Numeropagina">
    <w:name w:val="page number"/>
    <w:rsid w:val="00A16116"/>
    <w:rPr>
      <w:rFonts w:ascii="Arial" w:hAnsi="Arial"/>
      <w:sz w:val="20"/>
    </w:rPr>
  </w:style>
  <w:style w:type="paragraph" w:customStyle="1" w:styleId="Stile1">
    <w:name w:val="Stile1"/>
    <w:basedOn w:val="Normale"/>
    <w:rsid w:val="00A16116"/>
    <w:pPr>
      <w:numPr>
        <w:numId w:val="1"/>
      </w:numPr>
    </w:pPr>
  </w:style>
  <w:style w:type="paragraph" w:styleId="Testofumetto">
    <w:name w:val="Balloon Text"/>
    <w:basedOn w:val="Normale"/>
    <w:link w:val="TestofumettoCarattere"/>
    <w:rsid w:val="00A16116"/>
    <w:rPr>
      <w:rFonts w:ascii="Tahoma" w:hAnsi="Tahoma" w:cs="Tahoma"/>
      <w:sz w:val="16"/>
      <w:szCs w:val="16"/>
    </w:rPr>
  </w:style>
  <w:style w:type="character" w:customStyle="1" w:styleId="TestofumettoCarattere">
    <w:name w:val="Testo fumetto Carattere"/>
    <w:basedOn w:val="Carpredefinitoparagrafo"/>
    <w:link w:val="Testofumetto"/>
    <w:rsid w:val="00A16116"/>
    <w:rPr>
      <w:rFonts w:ascii="Tahoma" w:hAnsi="Tahoma" w:cs="Tahoma"/>
      <w:sz w:val="16"/>
      <w:szCs w:val="16"/>
    </w:rPr>
  </w:style>
  <w:style w:type="paragraph" w:styleId="Corpotesto">
    <w:name w:val="Body Text"/>
    <w:basedOn w:val="Normale"/>
    <w:link w:val="CorpotestoCarattere"/>
    <w:rsid w:val="00A16116"/>
    <w:pPr>
      <w:ind w:left="454" w:right="612"/>
      <w:jc w:val="both"/>
    </w:pPr>
    <w:rPr>
      <w:rFonts w:ascii="Arial" w:hAnsi="Arial"/>
      <w:bCs/>
      <w:iCs/>
      <w:sz w:val="24"/>
    </w:rPr>
  </w:style>
  <w:style w:type="character" w:customStyle="1" w:styleId="CorpotestoCarattere">
    <w:name w:val="Corpo testo Carattere"/>
    <w:basedOn w:val="Carpredefinitoparagrafo"/>
    <w:link w:val="Corpotesto"/>
    <w:rsid w:val="00A16116"/>
    <w:rPr>
      <w:rFonts w:ascii="Arial" w:hAnsi="Arial"/>
      <w:bCs/>
      <w:iCs/>
      <w:sz w:val="24"/>
    </w:rPr>
  </w:style>
  <w:style w:type="paragraph" w:customStyle="1" w:styleId="ChapterTitle">
    <w:name w:val="Chapter Title"/>
    <w:basedOn w:val="Titolo7"/>
    <w:autoRedefine/>
    <w:rsid w:val="00A16116"/>
    <w:pPr>
      <w:spacing w:before="360" w:after="360"/>
      <w:ind w:left="284"/>
    </w:pPr>
    <w:rPr>
      <w:rFonts w:ascii="Arial" w:hAnsi="Arial"/>
      <w:caps/>
      <w:sz w:val="28"/>
    </w:rPr>
  </w:style>
  <w:style w:type="character" w:customStyle="1" w:styleId="CorpodeltestoCarattere">
    <w:name w:val="Corpo del testo Carattere"/>
    <w:rsid w:val="00A16116"/>
    <w:rPr>
      <w:rFonts w:ascii="Arial" w:hAnsi="Arial"/>
      <w:sz w:val="24"/>
      <w:lang w:val="it-IT" w:eastAsia="it-IT" w:bidi="ar-SA"/>
    </w:rPr>
  </w:style>
  <w:style w:type="paragraph" w:styleId="Sommario3">
    <w:name w:val="toc 3"/>
    <w:basedOn w:val="Normale"/>
    <w:next w:val="Normale"/>
    <w:uiPriority w:val="39"/>
    <w:rsid w:val="00A16116"/>
    <w:pPr>
      <w:tabs>
        <w:tab w:val="right" w:leader="dot" w:pos="9061"/>
      </w:tabs>
      <w:spacing w:before="60" w:after="60"/>
      <w:ind w:right="284"/>
      <w:jc w:val="both"/>
    </w:pPr>
    <w:rPr>
      <w:rFonts w:ascii="Arial" w:hAnsi="Arial"/>
      <w:b/>
      <w:i/>
      <w:noProof/>
      <w:sz w:val="22"/>
    </w:rPr>
  </w:style>
  <w:style w:type="paragraph" w:styleId="Rientrocorpodeltesto">
    <w:name w:val="Body Text Indent"/>
    <w:basedOn w:val="Normale"/>
    <w:link w:val="RientrocorpodeltestoCarattere"/>
    <w:rsid w:val="00A16116"/>
    <w:pPr>
      <w:numPr>
        <w:numId w:val="7"/>
      </w:numPr>
      <w:ind w:right="612"/>
      <w:jc w:val="both"/>
    </w:pPr>
    <w:rPr>
      <w:rFonts w:ascii="Arial" w:hAnsi="Arial"/>
      <w:sz w:val="24"/>
    </w:rPr>
  </w:style>
  <w:style w:type="character" w:customStyle="1" w:styleId="RientrocorpodeltestoCarattere">
    <w:name w:val="Rientro corpo del testo Carattere"/>
    <w:basedOn w:val="Carpredefinitoparagrafo"/>
    <w:link w:val="Rientrocorpodeltesto"/>
    <w:rsid w:val="00A16116"/>
    <w:rPr>
      <w:rFonts w:ascii="Arial" w:hAnsi="Arial"/>
      <w:sz w:val="24"/>
    </w:rPr>
  </w:style>
  <w:style w:type="paragraph" w:styleId="Rientrocorpodeltesto2">
    <w:name w:val="Body Text Indent 2"/>
    <w:basedOn w:val="Normale"/>
    <w:link w:val="Rientrocorpodeltesto2Carattere"/>
    <w:rsid w:val="00A16116"/>
    <w:pPr>
      <w:numPr>
        <w:numId w:val="5"/>
      </w:numPr>
      <w:ind w:right="454"/>
      <w:jc w:val="both"/>
    </w:pPr>
    <w:rPr>
      <w:rFonts w:ascii="Arial" w:hAnsi="Arial"/>
      <w:sz w:val="24"/>
    </w:rPr>
  </w:style>
  <w:style w:type="character" w:customStyle="1" w:styleId="Rientrocorpodeltesto2Carattere">
    <w:name w:val="Rientro corpo del testo 2 Carattere"/>
    <w:basedOn w:val="Carpredefinitoparagrafo"/>
    <w:link w:val="Rientrocorpodeltesto2"/>
    <w:rsid w:val="00A16116"/>
    <w:rPr>
      <w:rFonts w:ascii="Arial" w:hAnsi="Arial"/>
      <w:sz w:val="24"/>
    </w:rPr>
  </w:style>
  <w:style w:type="paragraph" w:styleId="Rientrocorpodeltesto3">
    <w:name w:val="Body Text Indent 3"/>
    <w:basedOn w:val="Normale"/>
    <w:link w:val="Rientrocorpodeltesto3Carattere"/>
    <w:rsid w:val="00A16116"/>
    <w:pPr>
      <w:ind w:left="426"/>
      <w:jc w:val="both"/>
    </w:pPr>
    <w:rPr>
      <w:rFonts w:ascii="Garamond" w:hAnsi="Garamond"/>
      <w:i/>
      <w:snapToGrid w:val="0"/>
      <w:sz w:val="24"/>
    </w:rPr>
  </w:style>
  <w:style w:type="character" w:customStyle="1" w:styleId="Rientrocorpodeltesto3Carattere">
    <w:name w:val="Rientro corpo del testo 3 Carattere"/>
    <w:basedOn w:val="Carpredefinitoparagrafo"/>
    <w:link w:val="Rientrocorpodeltesto3"/>
    <w:rsid w:val="00A16116"/>
    <w:rPr>
      <w:rFonts w:ascii="Garamond" w:hAnsi="Garamond"/>
      <w:i/>
      <w:snapToGrid w:val="0"/>
      <w:sz w:val="24"/>
    </w:rPr>
  </w:style>
  <w:style w:type="paragraph" w:styleId="Testonotaapidipagina">
    <w:name w:val="footnote text"/>
    <w:basedOn w:val="Normale"/>
    <w:link w:val="TestonotaapidipaginaCarattere"/>
    <w:rsid w:val="00A16116"/>
  </w:style>
  <w:style w:type="character" w:customStyle="1" w:styleId="TestonotaapidipaginaCarattere">
    <w:name w:val="Testo nota a piè di pagina Carattere"/>
    <w:basedOn w:val="Carpredefinitoparagrafo"/>
    <w:link w:val="Testonotaapidipagina"/>
    <w:rsid w:val="00A16116"/>
  </w:style>
  <w:style w:type="character" w:styleId="Rimandonotaapidipagina">
    <w:name w:val="footnote reference"/>
    <w:rsid w:val="00A16116"/>
    <w:rPr>
      <w:vertAlign w:val="superscript"/>
    </w:rPr>
  </w:style>
  <w:style w:type="paragraph" w:customStyle="1" w:styleId="text">
    <w:name w:val="text"/>
    <w:basedOn w:val="Normale"/>
    <w:rsid w:val="00A16116"/>
    <w:pPr>
      <w:spacing w:after="200" w:line="280" w:lineRule="exact"/>
      <w:jc w:val="both"/>
    </w:pPr>
    <w:rPr>
      <w:lang w:val="en-GB"/>
    </w:rPr>
  </w:style>
  <w:style w:type="paragraph" w:styleId="Mappadocumento">
    <w:name w:val="Document Map"/>
    <w:basedOn w:val="Normale"/>
    <w:link w:val="MappadocumentoCarattere"/>
    <w:rsid w:val="00A16116"/>
    <w:pPr>
      <w:shd w:val="clear" w:color="auto" w:fill="000080"/>
    </w:pPr>
    <w:rPr>
      <w:rFonts w:ascii="Tahoma" w:hAnsi="Tahoma"/>
    </w:rPr>
  </w:style>
  <w:style w:type="character" w:customStyle="1" w:styleId="MappadocumentoCarattere">
    <w:name w:val="Mappa documento Carattere"/>
    <w:basedOn w:val="Carpredefinitoparagrafo"/>
    <w:link w:val="Mappadocumento"/>
    <w:rsid w:val="00A16116"/>
    <w:rPr>
      <w:rFonts w:ascii="Tahoma" w:hAnsi="Tahoma"/>
      <w:shd w:val="clear" w:color="auto" w:fill="000080"/>
    </w:rPr>
  </w:style>
  <w:style w:type="paragraph" w:styleId="Sommario4">
    <w:name w:val="toc 4"/>
    <w:basedOn w:val="Normale"/>
    <w:next w:val="Normale"/>
    <w:rsid w:val="00A16116"/>
    <w:pPr>
      <w:tabs>
        <w:tab w:val="left" w:pos="9061"/>
      </w:tabs>
    </w:pPr>
    <w:rPr>
      <w:rFonts w:ascii="Arial" w:hAnsi="Arial"/>
      <w:i/>
      <w:sz w:val="22"/>
    </w:rPr>
  </w:style>
  <w:style w:type="paragraph" w:styleId="Sommario5">
    <w:name w:val="toc 5"/>
    <w:basedOn w:val="Normale"/>
    <w:next w:val="Normale"/>
    <w:autoRedefine/>
    <w:rsid w:val="00A16116"/>
    <w:rPr>
      <w:rFonts w:ascii="Arial" w:hAnsi="Arial"/>
      <w:sz w:val="22"/>
    </w:rPr>
  </w:style>
  <w:style w:type="paragraph" w:styleId="Sommario6">
    <w:name w:val="toc 6"/>
    <w:basedOn w:val="Normale"/>
    <w:next w:val="Normale"/>
    <w:autoRedefine/>
    <w:rsid w:val="00A16116"/>
    <w:rPr>
      <w:sz w:val="22"/>
    </w:rPr>
  </w:style>
  <w:style w:type="paragraph" w:styleId="Sommario7">
    <w:name w:val="toc 7"/>
    <w:basedOn w:val="Normale"/>
    <w:next w:val="Normale"/>
    <w:autoRedefine/>
    <w:rsid w:val="00A16116"/>
    <w:rPr>
      <w:sz w:val="22"/>
    </w:rPr>
  </w:style>
  <w:style w:type="paragraph" w:styleId="Sommario8">
    <w:name w:val="toc 8"/>
    <w:basedOn w:val="Normale"/>
    <w:next w:val="Normale"/>
    <w:autoRedefine/>
    <w:rsid w:val="00A16116"/>
    <w:rPr>
      <w:sz w:val="22"/>
    </w:rPr>
  </w:style>
  <w:style w:type="paragraph" w:styleId="Sommario9">
    <w:name w:val="toc 9"/>
    <w:basedOn w:val="Normale"/>
    <w:next w:val="Normale"/>
    <w:autoRedefine/>
    <w:rsid w:val="00A16116"/>
    <w:rPr>
      <w:sz w:val="22"/>
    </w:rPr>
  </w:style>
  <w:style w:type="paragraph" w:styleId="Corpodeltesto2">
    <w:name w:val="Body Text 2"/>
    <w:basedOn w:val="Normale"/>
    <w:link w:val="Corpodeltesto2Carattere"/>
    <w:rsid w:val="00A16116"/>
    <w:pPr>
      <w:jc w:val="center"/>
    </w:pPr>
    <w:rPr>
      <w:rFonts w:ascii="Garamond" w:hAnsi="Garamond"/>
      <w:sz w:val="24"/>
    </w:rPr>
  </w:style>
  <w:style w:type="character" w:customStyle="1" w:styleId="Corpodeltesto2Carattere">
    <w:name w:val="Corpo del testo 2 Carattere"/>
    <w:basedOn w:val="Carpredefinitoparagrafo"/>
    <w:link w:val="Corpodeltesto2"/>
    <w:rsid w:val="00A16116"/>
    <w:rPr>
      <w:rFonts w:ascii="Garamond" w:hAnsi="Garamond"/>
      <w:sz w:val="24"/>
    </w:rPr>
  </w:style>
  <w:style w:type="paragraph" w:styleId="Indicedellefigure">
    <w:name w:val="table of figures"/>
    <w:basedOn w:val="Normale"/>
    <w:next w:val="Normale"/>
    <w:rsid w:val="00A16116"/>
    <w:pPr>
      <w:ind w:left="400" w:hanging="400"/>
    </w:pPr>
  </w:style>
  <w:style w:type="paragraph" w:customStyle="1" w:styleId="L1">
    <w:name w:val="L1"/>
    <w:basedOn w:val="Normale"/>
    <w:rsid w:val="00A16116"/>
    <w:pPr>
      <w:numPr>
        <w:numId w:val="2"/>
      </w:numPr>
      <w:jc w:val="both"/>
    </w:pPr>
    <w:rPr>
      <w:rFonts w:ascii="Garamond" w:hAnsi="Garamond"/>
      <w:sz w:val="24"/>
    </w:rPr>
  </w:style>
  <w:style w:type="paragraph" w:customStyle="1" w:styleId="L2">
    <w:name w:val="L2"/>
    <w:basedOn w:val="Normale"/>
    <w:rsid w:val="00A16116"/>
    <w:pPr>
      <w:numPr>
        <w:ilvl w:val="1"/>
        <w:numId w:val="2"/>
      </w:numPr>
      <w:jc w:val="both"/>
    </w:pPr>
    <w:rPr>
      <w:rFonts w:ascii="Garamond" w:hAnsi="Garamond"/>
      <w:b/>
      <w:sz w:val="24"/>
    </w:rPr>
  </w:style>
  <w:style w:type="paragraph" w:customStyle="1" w:styleId="L3">
    <w:name w:val="L3"/>
    <w:basedOn w:val="Normale"/>
    <w:rsid w:val="00A16116"/>
    <w:pPr>
      <w:numPr>
        <w:ilvl w:val="2"/>
        <w:numId w:val="2"/>
      </w:numPr>
      <w:jc w:val="both"/>
    </w:pPr>
    <w:rPr>
      <w:rFonts w:ascii="Garamond" w:hAnsi="Garamond"/>
      <w:i/>
      <w:sz w:val="24"/>
    </w:rPr>
  </w:style>
  <w:style w:type="paragraph" w:customStyle="1" w:styleId="B1">
    <w:name w:val="B1"/>
    <w:basedOn w:val="Normale"/>
    <w:autoRedefine/>
    <w:rsid w:val="00A16116"/>
    <w:pPr>
      <w:numPr>
        <w:numId w:val="3"/>
      </w:numPr>
      <w:jc w:val="both"/>
    </w:pPr>
    <w:rPr>
      <w:rFonts w:ascii="Garamond" w:hAnsi="Garamond"/>
      <w:b/>
      <w:sz w:val="24"/>
    </w:rPr>
  </w:style>
  <w:style w:type="paragraph" w:customStyle="1" w:styleId="L4">
    <w:name w:val="L4"/>
    <w:basedOn w:val="L3"/>
    <w:rsid w:val="00A16116"/>
    <w:pPr>
      <w:numPr>
        <w:ilvl w:val="3"/>
      </w:numPr>
      <w:tabs>
        <w:tab w:val="clear" w:pos="1080"/>
        <w:tab w:val="num" w:pos="360"/>
      </w:tabs>
    </w:pPr>
  </w:style>
  <w:style w:type="paragraph" w:customStyle="1" w:styleId="B2">
    <w:name w:val="B2"/>
    <w:basedOn w:val="Normale"/>
    <w:autoRedefine/>
    <w:rsid w:val="00A16116"/>
    <w:pPr>
      <w:numPr>
        <w:ilvl w:val="1"/>
        <w:numId w:val="3"/>
      </w:numPr>
      <w:jc w:val="both"/>
    </w:pPr>
    <w:rPr>
      <w:rFonts w:ascii="Garamond" w:hAnsi="Garamond"/>
      <w:b/>
      <w:sz w:val="24"/>
    </w:rPr>
  </w:style>
  <w:style w:type="paragraph" w:customStyle="1" w:styleId="B3">
    <w:name w:val="B3"/>
    <w:basedOn w:val="Normale"/>
    <w:autoRedefine/>
    <w:rsid w:val="00A16116"/>
    <w:pPr>
      <w:numPr>
        <w:ilvl w:val="2"/>
        <w:numId w:val="3"/>
      </w:numPr>
      <w:jc w:val="both"/>
    </w:pPr>
    <w:rPr>
      <w:rFonts w:ascii="Garamond" w:hAnsi="Garamond"/>
      <w:i/>
      <w:sz w:val="24"/>
    </w:rPr>
  </w:style>
  <w:style w:type="paragraph" w:styleId="Corpodeltesto3">
    <w:name w:val="Body Text 3"/>
    <w:basedOn w:val="Normale"/>
    <w:link w:val="Corpodeltesto3Carattere"/>
    <w:autoRedefine/>
    <w:rsid w:val="00A16116"/>
    <w:pPr>
      <w:ind w:left="454"/>
    </w:pPr>
    <w:rPr>
      <w:rFonts w:ascii="Arial" w:hAnsi="Arial"/>
      <w:b/>
      <w:snapToGrid w:val="0"/>
      <w:color w:val="000000"/>
      <w:sz w:val="24"/>
    </w:rPr>
  </w:style>
  <w:style w:type="character" w:customStyle="1" w:styleId="Corpodeltesto3Carattere">
    <w:name w:val="Corpo del testo 3 Carattere"/>
    <w:basedOn w:val="Carpredefinitoparagrafo"/>
    <w:link w:val="Corpodeltesto3"/>
    <w:rsid w:val="00A16116"/>
    <w:rPr>
      <w:rFonts w:ascii="Arial" w:hAnsi="Arial"/>
      <w:b/>
      <w:snapToGrid w:val="0"/>
      <w:color w:val="000000"/>
      <w:sz w:val="24"/>
    </w:rPr>
  </w:style>
  <w:style w:type="paragraph" w:customStyle="1" w:styleId="NormaleWeb1">
    <w:name w:val="Normale (Web)1"/>
    <w:basedOn w:val="Normale"/>
    <w:rsid w:val="00A16116"/>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rsid w:val="00A16116"/>
    <w:pPr>
      <w:ind w:left="454"/>
      <w:jc w:val="center"/>
    </w:pPr>
    <w:rPr>
      <w:rFonts w:ascii="Garamond" w:hAnsi="Garamond"/>
      <w:sz w:val="24"/>
    </w:rPr>
  </w:style>
  <w:style w:type="paragraph" w:customStyle="1" w:styleId="xl30">
    <w:name w:val="xl30"/>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rsid w:val="00A16116"/>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rsid w:val="00A16116"/>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rsid w:val="00A16116"/>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rsid w:val="00A16116"/>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rsid w:val="00A161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sid w:val="00A16116"/>
    <w:rPr>
      <w:color w:val="800080"/>
      <w:u w:val="single"/>
    </w:rPr>
  </w:style>
  <w:style w:type="paragraph" w:customStyle="1" w:styleId="E1">
    <w:name w:val="E1"/>
    <w:basedOn w:val="L1"/>
    <w:autoRedefine/>
    <w:rsid w:val="00A16116"/>
    <w:pPr>
      <w:numPr>
        <w:numId w:val="9"/>
      </w:numPr>
    </w:pPr>
    <w:rPr>
      <w:b/>
    </w:rPr>
  </w:style>
  <w:style w:type="character" w:styleId="Enfasigrassetto">
    <w:name w:val="Strong"/>
    <w:qFormat/>
    <w:rsid w:val="00A16116"/>
    <w:rPr>
      <w:b/>
      <w:bCs/>
    </w:rPr>
  </w:style>
  <w:style w:type="paragraph" w:customStyle="1" w:styleId="Intestazione2">
    <w:name w:val="Intestazione 2"/>
    <w:basedOn w:val="Intestazione"/>
    <w:rsid w:val="00A16116"/>
    <w:pPr>
      <w:pBdr>
        <w:bottom w:val="none" w:sz="0" w:space="0" w:color="auto"/>
      </w:pBdr>
      <w:jc w:val="left"/>
    </w:pPr>
    <w:rPr>
      <w:rFonts w:cs="Arial"/>
      <w:i/>
    </w:rPr>
  </w:style>
  <w:style w:type="paragraph" w:customStyle="1" w:styleId="Rientrocorpodeltesto1">
    <w:name w:val="Rientro corpo del testo 1"/>
    <w:basedOn w:val="Rientrocorpodeltesto"/>
    <w:rsid w:val="00A16116"/>
    <w:pPr>
      <w:numPr>
        <w:numId w:val="4"/>
      </w:numPr>
    </w:pPr>
    <w:rPr>
      <w:b/>
    </w:rPr>
  </w:style>
  <w:style w:type="paragraph" w:customStyle="1" w:styleId="primolivellobullet">
    <w:name w:val="primo livello bullet"/>
    <w:basedOn w:val="Corpotesto"/>
    <w:rsid w:val="00A16116"/>
    <w:pPr>
      <w:numPr>
        <w:numId w:val="10"/>
      </w:numPr>
    </w:pPr>
  </w:style>
  <w:style w:type="paragraph" w:customStyle="1" w:styleId="Titolo3connumerazione">
    <w:name w:val="Titolo 3 con numerazione"/>
    <w:basedOn w:val="Titolo2"/>
    <w:rsid w:val="00A16116"/>
    <w:pPr>
      <w:numPr>
        <w:ilvl w:val="0"/>
        <w:numId w:val="0"/>
      </w:numPr>
      <w:tabs>
        <w:tab w:val="num" w:pos="1080"/>
      </w:tabs>
      <w:spacing w:before="240" w:after="120"/>
      <w:ind w:left="1080" w:right="0" w:hanging="720"/>
      <w:jc w:val="both"/>
    </w:pPr>
    <w:rPr>
      <w:rFonts w:cs="Arial"/>
      <w:b w:val="0"/>
      <w:bCs/>
      <w:i/>
      <w:iCs/>
      <w:caps w:val="0"/>
      <w:kern w:val="0"/>
      <w:sz w:val="22"/>
      <w:szCs w:val="22"/>
      <w:u w:val="single"/>
      <w:lang w:eastAsia="en-US"/>
    </w:rPr>
  </w:style>
  <w:style w:type="table" w:styleId="Grigliatabella">
    <w:name w:val="Table Grid"/>
    <w:basedOn w:val="Tabellanormale"/>
    <w:rsid w:val="00A161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A16116"/>
    <w:rPr>
      <w:color w:val="808080"/>
    </w:rPr>
  </w:style>
  <w:style w:type="character" w:styleId="Rimandocommento">
    <w:name w:val="annotation reference"/>
    <w:basedOn w:val="Carpredefinitoparagrafo"/>
    <w:uiPriority w:val="99"/>
    <w:unhideWhenUsed/>
    <w:rsid w:val="00A16116"/>
    <w:rPr>
      <w:sz w:val="16"/>
      <w:szCs w:val="16"/>
    </w:rPr>
  </w:style>
  <w:style w:type="paragraph" w:styleId="Testocommento">
    <w:name w:val="annotation text"/>
    <w:basedOn w:val="Normale"/>
    <w:link w:val="TestocommentoCarattere"/>
    <w:uiPriority w:val="99"/>
    <w:unhideWhenUsed/>
    <w:rsid w:val="00A16116"/>
  </w:style>
  <w:style w:type="character" w:customStyle="1" w:styleId="TestocommentoCarattere">
    <w:name w:val="Testo commento Carattere"/>
    <w:basedOn w:val="Carpredefinitoparagrafo"/>
    <w:link w:val="Testocommento"/>
    <w:uiPriority w:val="99"/>
    <w:rsid w:val="00A16116"/>
  </w:style>
  <w:style w:type="paragraph" w:styleId="Soggettocommento">
    <w:name w:val="annotation subject"/>
    <w:basedOn w:val="Testocommento"/>
    <w:next w:val="Testocommento"/>
    <w:link w:val="SoggettocommentoCarattere"/>
    <w:uiPriority w:val="99"/>
    <w:unhideWhenUsed/>
    <w:rsid w:val="00A16116"/>
    <w:rPr>
      <w:b/>
      <w:bCs/>
    </w:rPr>
  </w:style>
  <w:style w:type="character" w:customStyle="1" w:styleId="SoggettocommentoCarattere">
    <w:name w:val="Soggetto commento Carattere"/>
    <w:basedOn w:val="TestocommentoCarattere"/>
    <w:link w:val="Soggettocommento"/>
    <w:uiPriority w:val="99"/>
    <w:rsid w:val="00A161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file:///\\edimi-shp-01\c$\TMS\Logo\Marchio%20Edison%20piccolo.gif" TargetMode="External"/><Relationship Id="rId1" Type="http://schemas.openxmlformats.org/officeDocument/2006/relationships/image" Target="media/image3.png"/><Relationship Id="rId4" Type="http://schemas.openxmlformats.org/officeDocument/2006/relationships/image" Target="file:///\\edimi-shp-01\c$\TMS\Logo\Marchio%20Edison%20piccolo.gi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7228</Words>
  <Characters>41205</Characters>
  <Application>Microsoft Office Word</Application>
  <DocSecurity>0</DocSecurity>
  <Lines>343</Lines>
  <Paragraphs>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Danilo</dc:creator>
  <cp:lastModifiedBy>Esposito, Danilo</cp:lastModifiedBy>
  <cp:revision>1</cp:revision>
  <dcterms:created xsi:type="dcterms:W3CDTF">2014-04-02T15:25:00Z</dcterms:created>
  <dcterms:modified xsi:type="dcterms:W3CDTF">2014-04-02T15:26:00Z</dcterms:modified>
</cp:coreProperties>
</file>